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asciiTheme="minorEastAsia" w:hAnsiTheme="minorEastAsia" w:eastAsiaTheme="minorEastAsia" w:cstheme="minorEastAsia"/>
          <w:color w:val="auto"/>
          <w:highlight w:val="none"/>
        </w:rPr>
      </w:pPr>
    </w:p>
    <w:p>
      <w:pPr>
        <w:spacing w:line="360" w:lineRule="auto"/>
        <w:jc w:val="center"/>
        <w:rPr>
          <w:rFonts w:asciiTheme="minorEastAsia" w:hAnsiTheme="minorEastAsia" w:eastAsiaTheme="minorEastAsia" w:cstheme="minorEastAsia"/>
          <w:color w:val="auto"/>
          <w:sz w:val="24"/>
          <w:szCs w:val="24"/>
          <w:highlight w:val="none"/>
        </w:rPr>
      </w:pPr>
    </w:p>
    <w:p>
      <w:pPr>
        <w:spacing w:line="360" w:lineRule="auto"/>
        <w:jc w:val="center"/>
        <w:rPr>
          <w:rFonts w:asciiTheme="minorEastAsia" w:hAnsiTheme="minorEastAsia" w:eastAsiaTheme="minorEastAsia" w:cstheme="minorEastAsia"/>
          <w:b/>
          <w:color w:val="auto"/>
          <w:sz w:val="36"/>
          <w:szCs w:val="36"/>
          <w:highlight w:val="none"/>
        </w:rPr>
      </w:pPr>
      <w:r>
        <w:rPr>
          <w:rFonts w:hint="eastAsia" w:asciiTheme="minorEastAsia" w:hAnsiTheme="minorEastAsia" w:eastAsiaTheme="minorEastAsia" w:cstheme="minorEastAsia"/>
          <w:b/>
          <w:color w:val="auto"/>
          <w:sz w:val="36"/>
          <w:szCs w:val="36"/>
          <w:highlight w:val="none"/>
        </w:rPr>
        <w:t>绍兴市妇幼保健院（绍兴市儿童医院）建设项目净化项目   招标文件</w:t>
      </w:r>
    </w:p>
    <w:p>
      <w:pPr>
        <w:spacing w:line="360" w:lineRule="auto"/>
        <w:ind w:firstLine="3040"/>
        <w:rPr>
          <w:rFonts w:asciiTheme="minorEastAsia" w:hAnsiTheme="minorEastAsia" w:eastAsiaTheme="minorEastAsia" w:cstheme="minorEastAsia"/>
          <w:color w:val="auto"/>
          <w:sz w:val="28"/>
          <w:szCs w:val="28"/>
          <w:highlight w:val="none"/>
        </w:rPr>
      </w:pPr>
    </w:p>
    <w:p>
      <w:pPr>
        <w:spacing w:line="360" w:lineRule="auto"/>
        <w:ind w:firstLine="3040"/>
        <w:rPr>
          <w:rFonts w:asciiTheme="minorEastAsia" w:hAnsiTheme="minorEastAsia" w:eastAsiaTheme="minorEastAsia" w:cstheme="minorEastAsia"/>
          <w:color w:val="auto"/>
          <w:sz w:val="28"/>
          <w:szCs w:val="28"/>
          <w:highlight w:val="none"/>
        </w:rPr>
      </w:pPr>
    </w:p>
    <w:p>
      <w:pPr>
        <w:spacing w:line="360" w:lineRule="auto"/>
        <w:jc w:val="center"/>
        <w:rPr>
          <w:rFonts w:asciiTheme="minorEastAsia" w:hAnsiTheme="minorEastAsia" w:eastAsiaTheme="minorEastAsia" w:cstheme="minorEastAsia"/>
          <w:color w:val="auto"/>
          <w:sz w:val="28"/>
          <w:szCs w:val="28"/>
          <w:highlight w:val="none"/>
        </w:rPr>
      </w:pPr>
    </w:p>
    <w:p>
      <w:pPr>
        <w:spacing w:line="360" w:lineRule="auto"/>
        <w:jc w:val="center"/>
        <w:rPr>
          <w:rFonts w:asciiTheme="minorEastAsia" w:hAnsiTheme="minorEastAsia" w:eastAsiaTheme="minorEastAsia" w:cstheme="minorEastAsia"/>
          <w:color w:val="auto"/>
          <w:sz w:val="28"/>
          <w:szCs w:val="28"/>
          <w:highlight w:val="none"/>
        </w:rPr>
      </w:pPr>
    </w:p>
    <w:p>
      <w:pPr>
        <w:spacing w:line="360" w:lineRule="auto"/>
        <w:jc w:val="center"/>
        <w:rPr>
          <w:rFonts w:asciiTheme="minorEastAsia" w:hAnsiTheme="minorEastAsia" w:eastAsiaTheme="minorEastAsia" w:cstheme="minorEastAsia"/>
          <w:b/>
          <w:color w:val="auto"/>
          <w:sz w:val="28"/>
          <w:szCs w:val="28"/>
          <w:highlight w:val="none"/>
        </w:rPr>
      </w:pPr>
    </w:p>
    <w:p>
      <w:pPr>
        <w:spacing w:line="360" w:lineRule="auto"/>
        <w:jc w:val="center"/>
        <w:rPr>
          <w:rFonts w:asciiTheme="minorEastAsia" w:hAnsiTheme="minorEastAsia" w:eastAsiaTheme="minorEastAsia" w:cstheme="minorEastAsia"/>
          <w:b/>
          <w:color w:val="auto"/>
          <w:sz w:val="28"/>
          <w:szCs w:val="28"/>
          <w:highlight w:val="none"/>
        </w:rPr>
      </w:pPr>
    </w:p>
    <w:p>
      <w:pPr>
        <w:spacing w:line="360" w:lineRule="auto"/>
        <w:jc w:val="center"/>
        <w:rPr>
          <w:rFonts w:asciiTheme="minorEastAsia" w:hAnsiTheme="minorEastAsia" w:eastAsiaTheme="minorEastAsia" w:cstheme="minorEastAsia"/>
          <w:b/>
          <w:color w:val="auto"/>
          <w:sz w:val="28"/>
          <w:szCs w:val="28"/>
          <w:highlight w:val="none"/>
        </w:rPr>
      </w:pPr>
    </w:p>
    <w:p>
      <w:pPr>
        <w:spacing w:line="360" w:lineRule="auto"/>
        <w:jc w:val="center"/>
        <w:rPr>
          <w:rFonts w:asciiTheme="minorEastAsia" w:hAnsiTheme="minorEastAsia" w:eastAsiaTheme="minorEastAsia" w:cstheme="minorEastAsia"/>
          <w:b/>
          <w:color w:val="auto"/>
          <w:sz w:val="28"/>
          <w:szCs w:val="28"/>
          <w:highlight w:val="none"/>
        </w:rPr>
      </w:pPr>
    </w:p>
    <w:p>
      <w:pPr>
        <w:spacing w:line="360" w:lineRule="auto"/>
        <w:jc w:val="center"/>
        <w:rPr>
          <w:rFonts w:asciiTheme="minorEastAsia" w:hAnsiTheme="minorEastAsia" w:eastAsiaTheme="minorEastAsia" w:cstheme="minorEastAsia"/>
          <w:b/>
          <w:color w:val="auto"/>
          <w:sz w:val="28"/>
          <w:szCs w:val="28"/>
          <w:highlight w:val="none"/>
        </w:rPr>
      </w:pPr>
    </w:p>
    <w:p>
      <w:pPr>
        <w:spacing w:line="360" w:lineRule="auto"/>
        <w:jc w:val="center"/>
        <w:rPr>
          <w:rFonts w:asciiTheme="minorEastAsia" w:hAnsiTheme="minorEastAsia" w:eastAsiaTheme="minorEastAsia" w:cstheme="minorEastAsia"/>
          <w:b/>
          <w:color w:val="auto"/>
          <w:sz w:val="28"/>
          <w:szCs w:val="28"/>
          <w:highlight w:val="none"/>
        </w:rPr>
      </w:pPr>
    </w:p>
    <w:p>
      <w:pPr>
        <w:spacing w:line="360" w:lineRule="auto"/>
        <w:jc w:val="center"/>
        <w:rPr>
          <w:rFonts w:asciiTheme="minorEastAsia" w:hAnsiTheme="minorEastAsia" w:eastAsiaTheme="minorEastAsia" w:cstheme="minorEastAsia"/>
          <w:b/>
          <w:color w:val="auto"/>
          <w:sz w:val="28"/>
          <w:szCs w:val="28"/>
          <w:highlight w:val="none"/>
        </w:rPr>
      </w:pPr>
    </w:p>
    <w:p>
      <w:pPr>
        <w:spacing w:line="360" w:lineRule="auto"/>
        <w:jc w:val="center"/>
        <w:rPr>
          <w:rFonts w:asciiTheme="minorEastAsia" w:hAnsiTheme="minorEastAsia" w:eastAsiaTheme="minorEastAsia" w:cstheme="minorEastAsia"/>
          <w:b/>
          <w:color w:val="auto"/>
          <w:sz w:val="28"/>
          <w:szCs w:val="28"/>
          <w:highlight w:val="none"/>
        </w:rPr>
      </w:pPr>
    </w:p>
    <w:p>
      <w:pPr>
        <w:spacing w:line="360" w:lineRule="auto"/>
        <w:jc w:val="center"/>
        <w:rPr>
          <w:rFonts w:asciiTheme="minorEastAsia" w:hAnsiTheme="minorEastAsia" w:eastAsiaTheme="minorEastAsia" w:cstheme="minorEastAsia"/>
          <w:b/>
          <w:color w:val="auto"/>
          <w:sz w:val="28"/>
          <w:szCs w:val="28"/>
          <w:highlight w:val="none"/>
        </w:rPr>
      </w:pPr>
    </w:p>
    <w:p>
      <w:pPr>
        <w:spacing w:line="360" w:lineRule="auto"/>
        <w:jc w:val="center"/>
        <w:rPr>
          <w:rFonts w:asciiTheme="minorEastAsia" w:hAnsiTheme="minorEastAsia" w:eastAsiaTheme="minorEastAsia" w:cstheme="minorEastAsia"/>
          <w:b/>
          <w:color w:val="auto"/>
          <w:sz w:val="28"/>
          <w:szCs w:val="28"/>
          <w:highlight w:val="none"/>
        </w:rPr>
      </w:pPr>
    </w:p>
    <w:p>
      <w:pPr>
        <w:spacing w:line="360" w:lineRule="auto"/>
        <w:rPr>
          <w:rFonts w:asciiTheme="minorEastAsia" w:hAnsiTheme="minorEastAsia" w:eastAsiaTheme="minorEastAsia" w:cstheme="minorEastAsia"/>
          <w:b/>
          <w:color w:val="auto"/>
          <w:sz w:val="28"/>
          <w:szCs w:val="28"/>
          <w:highlight w:val="none"/>
        </w:rPr>
      </w:pPr>
    </w:p>
    <w:p>
      <w:pPr>
        <w:spacing w:line="360" w:lineRule="auto"/>
        <w:jc w:val="center"/>
        <w:rPr>
          <w:rFonts w:asciiTheme="minorEastAsia" w:hAnsiTheme="minorEastAsia" w:eastAsiaTheme="minorEastAsia" w:cstheme="minorEastAsia"/>
          <w:b/>
          <w:color w:val="auto"/>
          <w:sz w:val="28"/>
          <w:szCs w:val="28"/>
          <w:highlight w:val="none"/>
        </w:rPr>
      </w:pPr>
    </w:p>
    <w:p>
      <w:pPr>
        <w:spacing w:line="360" w:lineRule="auto"/>
        <w:jc w:val="center"/>
        <w:rPr>
          <w:rFonts w:asciiTheme="minorEastAsia" w:hAnsiTheme="minorEastAsia" w:eastAsiaTheme="minorEastAsia" w:cstheme="minorEastAsia"/>
          <w:b/>
          <w:color w:val="auto"/>
          <w:sz w:val="28"/>
          <w:szCs w:val="28"/>
          <w:highlight w:val="none"/>
        </w:rPr>
      </w:pPr>
      <w:r>
        <w:rPr>
          <w:rFonts w:hint="eastAsia" w:asciiTheme="minorEastAsia" w:hAnsiTheme="minorEastAsia" w:eastAsiaTheme="minorEastAsia" w:cstheme="minorEastAsia"/>
          <w:b/>
          <w:color w:val="auto"/>
          <w:sz w:val="28"/>
          <w:szCs w:val="28"/>
          <w:highlight w:val="none"/>
        </w:rPr>
        <w:t>招  标  人：浙江精工钢结构集团有限公司</w:t>
      </w:r>
    </w:p>
    <w:p>
      <w:pPr>
        <w:spacing w:line="360" w:lineRule="auto"/>
        <w:jc w:val="center"/>
        <w:rPr>
          <w:rFonts w:asciiTheme="minorEastAsia" w:hAnsiTheme="minorEastAsia" w:eastAsiaTheme="minorEastAsia" w:cstheme="minorEastAsia"/>
          <w:b/>
          <w:color w:val="auto"/>
          <w:sz w:val="28"/>
          <w:szCs w:val="28"/>
          <w:highlight w:val="none"/>
        </w:rPr>
      </w:pPr>
      <w:r>
        <w:rPr>
          <w:rFonts w:hint="eastAsia" w:asciiTheme="minorEastAsia" w:hAnsiTheme="minorEastAsia" w:eastAsiaTheme="minorEastAsia" w:cstheme="minorEastAsia"/>
          <w:b/>
          <w:color w:val="auto"/>
          <w:sz w:val="28"/>
          <w:szCs w:val="28"/>
          <w:highlight w:val="none"/>
        </w:rPr>
        <w:t>招标代理机构：浙江明业项目管理有限公司</w:t>
      </w:r>
    </w:p>
    <w:p>
      <w:pPr>
        <w:spacing w:line="360" w:lineRule="auto"/>
        <w:jc w:val="center"/>
        <w:rPr>
          <w:rFonts w:asciiTheme="minorEastAsia" w:hAnsiTheme="minorEastAsia" w:eastAsiaTheme="minorEastAsia" w:cstheme="minorEastAsia"/>
          <w:b/>
          <w:bCs/>
          <w:color w:val="auto"/>
          <w:sz w:val="28"/>
          <w:szCs w:val="28"/>
          <w:highlight w:val="none"/>
        </w:rPr>
      </w:pPr>
      <w:r>
        <w:rPr>
          <w:rFonts w:hint="eastAsia" w:asciiTheme="minorEastAsia" w:hAnsiTheme="minorEastAsia" w:eastAsiaTheme="minorEastAsia" w:cstheme="minorEastAsia"/>
          <w:b/>
          <w:bCs/>
          <w:color w:val="auto"/>
          <w:sz w:val="28"/>
          <w:szCs w:val="28"/>
          <w:highlight w:val="none"/>
        </w:rPr>
        <w:t>2022年</w:t>
      </w:r>
      <w:r>
        <w:rPr>
          <w:rFonts w:hint="eastAsia" w:asciiTheme="minorEastAsia" w:hAnsiTheme="minorEastAsia" w:eastAsiaTheme="minorEastAsia" w:cstheme="minorEastAsia"/>
          <w:b/>
          <w:bCs/>
          <w:color w:val="auto"/>
          <w:sz w:val="28"/>
          <w:szCs w:val="28"/>
          <w:highlight w:val="none"/>
          <w:lang w:val="en-US" w:eastAsia="zh-CN"/>
        </w:rPr>
        <w:t>6</w:t>
      </w:r>
      <w:r>
        <w:rPr>
          <w:rFonts w:hint="eastAsia" w:asciiTheme="minorEastAsia" w:hAnsiTheme="minorEastAsia" w:eastAsiaTheme="minorEastAsia" w:cstheme="minorEastAsia"/>
          <w:b/>
          <w:bCs/>
          <w:color w:val="auto"/>
          <w:sz w:val="28"/>
          <w:szCs w:val="28"/>
          <w:highlight w:val="none"/>
        </w:rPr>
        <w:t>月</w:t>
      </w:r>
    </w:p>
    <w:p>
      <w:pPr>
        <w:ind w:left="2243" w:right="2279"/>
        <w:jc w:val="center"/>
        <w:rPr>
          <w:b/>
          <w:color w:val="auto"/>
          <w:sz w:val="44"/>
          <w:highlight w:val="none"/>
        </w:rPr>
      </w:pPr>
    </w:p>
    <w:p>
      <w:pPr>
        <w:pStyle w:val="2"/>
      </w:pPr>
    </w:p>
    <w:p>
      <w:pPr>
        <w:ind w:right="2279"/>
        <w:rPr>
          <w:b/>
          <w:color w:val="auto"/>
          <w:sz w:val="44"/>
          <w:highlight w:val="none"/>
        </w:rPr>
      </w:pPr>
    </w:p>
    <w:p>
      <w:pPr>
        <w:spacing w:line="300" w:lineRule="auto"/>
        <w:jc w:val="center"/>
        <w:rPr>
          <w:b/>
          <w:color w:val="auto"/>
          <w:sz w:val="32"/>
          <w:szCs w:val="32"/>
          <w:highlight w:val="none"/>
        </w:rPr>
      </w:pPr>
      <w:r>
        <w:rPr>
          <w:rFonts w:hint="eastAsia"/>
          <w:b/>
          <w:color w:val="auto"/>
          <w:sz w:val="32"/>
          <w:szCs w:val="32"/>
          <w:highlight w:val="none"/>
        </w:rPr>
        <w:t>绍兴市妇幼保健院（绍兴市儿童医院）建设项目净化项目（重新招标</w:t>
      </w:r>
      <w:r>
        <w:rPr>
          <w:rFonts w:hint="eastAsia"/>
          <w:b/>
          <w:color w:val="auto"/>
          <w:sz w:val="32"/>
          <w:szCs w:val="32"/>
          <w:highlight w:val="none"/>
          <w:lang w:val="en-US" w:eastAsia="zh-CN"/>
        </w:rPr>
        <w:t>第二次</w:t>
      </w:r>
      <w:r>
        <w:rPr>
          <w:rFonts w:hint="eastAsia"/>
          <w:b/>
          <w:color w:val="auto"/>
          <w:sz w:val="32"/>
          <w:szCs w:val="32"/>
          <w:highlight w:val="none"/>
        </w:rPr>
        <w:t>）  招标文件</w:t>
      </w:r>
    </w:p>
    <w:p>
      <w:pPr>
        <w:spacing w:line="300" w:lineRule="auto"/>
        <w:jc w:val="center"/>
        <w:rPr>
          <w:b/>
          <w:color w:val="auto"/>
          <w:sz w:val="32"/>
          <w:szCs w:val="32"/>
          <w:highlight w:val="none"/>
        </w:rPr>
      </w:pPr>
    </w:p>
    <w:p>
      <w:pPr>
        <w:spacing w:line="680" w:lineRule="exact"/>
        <w:ind w:firstLine="700" w:firstLineChars="250"/>
        <w:rPr>
          <w:color w:val="auto"/>
          <w:sz w:val="28"/>
          <w:szCs w:val="28"/>
          <w:highlight w:val="none"/>
        </w:rPr>
      </w:pPr>
      <w:r>
        <w:rPr>
          <w:rFonts w:hint="eastAsia"/>
          <w:color w:val="auto"/>
          <w:sz w:val="28"/>
          <w:szCs w:val="28"/>
          <w:highlight w:val="none"/>
        </w:rPr>
        <w:t>项目业主：</w:t>
      </w:r>
      <w:r>
        <w:rPr>
          <w:rFonts w:hint="eastAsia"/>
          <w:bCs/>
          <w:color w:val="auto"/>
          <w:sz w:val="28"/>
          <w:szCs w:val="28"/>
          <w:highlight w:val="none"/>
          <w:u w:val="single"/>
        </w:rPr>
        <w:t xml:space="preserve">绍兴市妇幼保健院     </w:t>
      </w:r>
      <w:r>
        <w:rPr>
          <w:rFonts w:hint="eastAsia"/>
          <w:color w:val="auto"/>
          <w:sz w:val="28"/>
          <w:szCs w:val="28"/>
          <w:highlight w:val="none"/>
        </w:rPr>
        <w:t>（盖章）</w:t>
      </w:r>
    </w:p>
    <w:p>
      <w:pPr>
        <w:spacing w:line="680" w:lineRule="exact"/>
        <w:ind w:firstLine="700" w:firstLineChars="250"/>
        <w:rPr>
          <w:color w:val="auto"/>
          <w:sz w:val="28"/>
          <w:szCs w:val="28"/>
          <w:highlight w:val="none"/>
        </w:rPr>
      </w:pPr>
      <w:r>
        <w:rPr>
          <w:rFonts w:hint="eastAsia"/>
          <w:color w:val="auto"/>
          <w:sz w:val="28"/>
          <w:szCs w:val="28"/>
          <w:highlight w:val="none"/>
        </w:rPr>
        <w:t>代建单位：</w:t>
      </w:r>
      <w:r>
        <w:rPr>
          <w:rFonts w:hint="eastAsia"/>
          <w:bCs/>
          <w:color w:val="auto"/>
          <w:sz w:val="28"/>
          <w:szCs w:val="28"/>
          <w:highlight w:val="none"/>
          <w:u w:val="single"/>
        </w:rPr>
        <w:t>绍兴市交通建设有限公司</w:t>
      </w:r>
      <w:r>
        <w:rPr>
          <w:rFonts w:hint="eastAsia"/>
          <w:color w:val="auto"/>
          <w:sz w:val="28"/>
          <w:szCs w:val="28"/>
          <w:highlight w:val="none"/>
        </w:rPr>
        <w:t>（盖章）</w:t>
      </w:r>
    </w:p>
    <w:p>
      <w:pPr>
        <w:spacing w:line="600" w:lineRule="exact"/>
        <w:ind w:firstLine="700" w:firstLineChars="250"/>
        <w:rPr>
          <w:color w:val="auto"/>
          <w:sz w:val="28"/>
          <w:highlight w:val="none"/>
          <w:u w:val="single"/>
        </w:rPr>
      </w:pPr>
      <w:r>
        <w:rPr>
          <w:rFonts w:hint="eastAsia"/>
          <w:color w:val="auto"/>
          <w:sz w:val="28"/>
          <w:highlight w:val="none"/>
        </w:rPr>
        <w:t>招标人名称：</w:t>
      </w:r>
      <w:r>
        <w:rPr>
          <w:rFonts w:hint="eastAsia"/>
          <w:color w:val="auto"/>
          <w:sz w:val="28"/>
          <w:highlight w:val="none"/>
          <w:u w:val="single"/>
        </w:rPr>
        <w:t>浙江精工钢结构集团有限公司</w:t>
      </w:r>
      <w:r>
        <w:rPr>
          <w:rFonts w:hint="eastAsia"/>
          <w:color w:val="auto"/>
          <w:sz w:val="28"/>
          <w:highlight w:val="none"/>
        </w:rPr>
        <w:t>（盖章）</w:t>
      </w:r>
    </w:p>
    <w:p>
      <w:pPr>
        <w:spacing w:line="600" w:lineRule="exact"/>
        <w:ind w:firstLine="700" w:firstLineChars="250"/>
        <w:rPr>
          <w:color w:val="auto"/>
          <w:sz w:val="28"/>
          <w:highlight w:val="none"/>
        </w:rPr>
      </w:pPr>
      <w:r>
        <w:rPr>
          <w:rFonts w:hint="eastAsia"/>
          <w:color w:val="auto"/>
          <w:sz w:val="28"/>
          <w:highlight w:val="none"/>
        </w:rPr>
        <w:t>招标人法人代表：</w:t>
      </w:r>
      <w:r>
        <w:rPr>
          <w:color w:val="auto"/>
          <w:sz w:val="28"/>
          <w:highlight w:val="none"/>
          <w:u w:val="single"/>
        </w:rPr>
        <w:t xml:space="preserve">      孙关富     </w:t>
      </w:r>
      <w:r>
        <w:rPr>
          <w:rFonts w:hint="eastAsia"/>
          <w:color w:val="auto"/>
          <w:sz w:val="28"/>
          <w:highlight w:val="none"/>
        </w:rPr>
        <w:t>（盖章）</w:t>
      </w:r>
    </w:p>
    <w:p>
      <w:pPr>
        <w:spacing w:line="600" w:lineRule="exact"/>
        <w:ind w:firstLine="700" w:firstLineChars="250"/>
        <w:rPr>
          <w:color w:val="auto"/>
          <w:sz w:val="28"/>
          <w:highlight w:val="none"/>
          <w:u w:val="single"/>
        </w:rPr>
      </w:pPr>
      <w:r>
        <w:rPr>
          <w:rFonts w:hint="eastAsia"/>
          <w:color w:val="auto"/>
          <w:sz w:val="28"/>
          <w:highlight w:val="none"/>
        </w:rPr>
        <w:t>招标人地址：</w:t>
      </w:r>
      <w:r>
        <w:rPr>
          <w:rFonts w:hint="eastAsia"/>
          <w:color w:val="auto"/>
          <w:sz w:val="28"/>
          <w:highlight w:val="none"/>
          <w:u w:val="single"/>
        </w:rPr>
        <w:t>绍兴市柯桥区柯桥经济开发区鉴湖路</w:t>
      </w:r>
    </w:p>
    <w:p>
      <w:pPr>
        <w:spacing w:line="600" w:lineRule="exact"/>
        <w:ind w:firstLine="700" w:firstLineChars="250"/>
        <w:rPr>
          <w:color w:val="auto"/>
          <w:sz w:val="28"/>
          <w:highlight w:val="none"/>
        </w:rPr>
      </w:pPr>
      <w:r>
        <w:rPr>
          <w:rFonts w:hint="eastAsia"/>
          <w:color w:val="auto"/>
          <w:sz w:val="28"/>
          <w:highlight w:val="none"/>
        </w:rPr>
        <w:t>邮政编码：</w:t>
      </w:r>
      <w:r>
        <w:rPr>
          <w:color w:val="auto"/>
          <w:sz w:val="28"/>
          <w:highlight w:val="none"/>
          <w:u w:val="single"/>
        </w:rPr>
        <w:t xml:space="preserve">   312000   </w:t>
      </w:r>
    </w:p>
    <w:p>
      <w:pPr>
        <w:spacing w:line="600" w:lineRule="exact"/>
        <w:ind w:firstLine="700" w:firstLineChars="250"/>
        <w:rPr>
          <w:color w:val="auto"/>
          <w:sz w:val="28"/>
          <w:highlight w:val="none"/>
          <w:u w:val="single"/>
        </w:rPr>
      </w:pPr>
      <w:r>
        <w:rPr>
          <w:rFonts w:hint="eastAsia"/>
          <w:color w:val="auto"/>
          <w:sz w:val="28"/>
          <w:highlight w:val="none"/>
        </w:rPr>
        <w:t>联系人：</w:t>
      </w:r>
      <w:r>
        <w:rPr>
          <w:color w:val="auto"/>
          <w:sz w:val="28"/>
          <w:highlight w:val="none"/>
          <w:u w:val="single"/>
        </w:rPr>
        <w:t xml:space="preserve">   </w:t>
      </w:r>
      <w:r>
        <w:rPr>
          <w:rFonts w:hint="eastAsia"/>
          <w:color w:val="auto"/>
          <w:sz w:val="28"/>
          <w:highlight w:val="none"/>
          <w:u w:val="single"/>
        </w:rPr>
        <w:t>王晓文</w:t>
      </w:r>
      <w:r>
        <w:rPr>
          <w:color w:val="auto"/>
          <w:sz w:val="28"/>
          <w:highlight w:val="none"/>
          <w:u w:val="single"/>
        </w:rPr>
        <w:t xml:space="preserve">    </w:t>
      </w:r>
      <w:r>
        <w:rPr>
          <w:color w:val="auto"/>
          <w:sz w:val="28"/>
          <w:highlight w:val="none"/>
        </w:rPr>
        <w:t xml:space="preserve"> </w:t>
      </w:r>
      <w:r>
        <w:rPr>
          <w:rFonts w:hint="eastAsia"/>
          <w:color w:val="auto"/>
          <w:sz w:val="28"/>
          <w:highlight w:val="none"/>
        </w:rPr>
        <w:t>电</w:t>
      </w:r>
      <w:r>
        <w:rPr>
          <w:color w:val="auto"/>
          <w:sz w:val="28"/>
          <w:highlight w:val="none"/>
        </w:rPr>
        <w:t xml:space="preserve">    </w:t>
      </w:r>
      <w:r>
        <w:rPr>
          <w:rFonts w:hint="eastAsia"/>
          <w:color w:val="auto"/>
          <w:sz w:val="28"/>
          <w:highlight w:val="none"/>
        </w:rPr>
        <w:t>话：</w:t>
      </w:r>
      <w:r>
        <w:rPr>
          <w:rFonts w:hint="eastAsia"/>
          <w:color w:val="auto"/>
          <w:sz w:val="28"/>
          <w:highlight w:val="none"/>
          <w:u w:val="single"/>
        </w:rPr>
        <w:t xml:space="preserve">  13971064493  </w:t>
      </w:r>
    </w:p>
    <w:p>
      <w:pPr>
        <w:spacing w:line="680" w:lineRule="exact"/>
        <w:ind w:firstLine="358" w:firstLineChars="128"/>
        <w:rPr>
          <w:color w:val="auto"/>
          <w:sz w:val="28"/>
          <w:highlight w:val="none"/>
        </w:rPr>
      </w:pPr>
    </w:p>
    <w:p>
      <w:pPr>
        <w:spacing w:line="600" w:lineRule="exact"/>
        <w:ind w:firstLine="700" w:firstLineChars="250"/>
        <w:rPr>
          <w:color w:val="auto"/>
          <w:spacing w:val="-10"/>
          <w:sz w:val="28"/>
          <w:szCs w:val="28"/>
          <w:highlight w:val="none"/>
        </w:rPr>
      </w:pPr>
      <w:r>
        <w:rPr>
          <w:rFonts w:hint="eastAsia"/>
          <w:color w:val="auto"/>
          <w:sz w:val="28"/>
          <w:highlight w:val="none"/>
        </w:rPr>
        <w:t>招</w:t>
      </w:r>
      <w:r>
        <w:rPr>
          <w:rFonts w:hint="eastAsia"/>
          <w:color w:val="auto"/>
          <w:spacing w:val="-10"/>
          <w:sz w:val="28"/>
          <w:szCs w:val="28"/>
          <w:highlight w:val="none"/>
        </w:rPr>
        <w:t>标代理机构名称：</w:t>
      </w:r>
      <w:r>
        <w:rPr>
          <w:rFonts w:hint="eastAsia"/>
          <w:color w:val="auto"/>
          <w:spacing w:val="-10"/>
          <w:sz w:val="28"/>
          <w:szCs w:val="28"/>
          <w:highlight w:val="none"/>
          <w:u w:val="single"/>
        </w:rPr>
        <w:t xml:space="preserve">浙江明业项目管理有限公司 </w:t>
      </w:r>
      <w:r>
        <w:rPr>
          <w:rFonts w:hint="eastAsia"/>
          <w:color w:val="auto"/>
          <w:spacing w:val="-10"/>
          <w:sz w:val="28"/>
          <w:szCs w:val="28"/>
          <w:highlight w:val="none"/>
        </w:rPr>
        <w:t>（盖章）</w:t>
      </w:r>
    </w:p>
    <w:p>
      <w:pPr>
        <w:spacing w:line="680" w:lineRule="exact"/>
        <w:ind w:firstLine="722" w:firstLineChars="278"/>
        <w:rPr>
          <w:color w:val="auto"/>
          <w:spacing w:val="-10"/>
          <w:sz w:val="28"/>
          <w:szCs w:val="28"/>
          <w:highlight w:val="none"/>
        </w:rPr>
      </w:pPr>
      <w:r>
        <w:rPr>
          <w:rFonts w:hint="eastAsia"/>
          <w:color w:val="auto"/>
          <w:spacing w:val="-10"/>
          <w:sz w:val="28"/>
          <w:szCs w:val="28"/>
          <w:highlight w:val="none"/>
        </w:rPr>
        <w:t>招标代理机构法人代表：</w:t>
      </w:r>
      <w:r>
        <w:rPr>
          <w:i/>
          <w:color w:val="auto"/>
          <w:spacing w:val="-10"/>
          <w:sz w:val="28"/>
          <w:szCs w:val="28"/>
          <w:highlight w:val="none"/>
          <w:u w:val="single"/>
        </w:rPr>
        <w:t xml:space="preserve">   </w:t>
      </w:r>
      <w:r>
        <w:rPr>
          <w:rFonts w:hint="eastAsia"/>
          <w:iCs/>
          <w:color w:val="auto"/>
          <w:spacing w:val="-10"/>
          <w:sz w:val="28"/>
          <w:szCs w:val="28"/>
          <w:highlight w:val="none"/>
          <w:u w:val="single"/>
        </w:rPr>
        <w:t>何关明</w:t>
      </w:r>
      <w:r>
        <w:rPr>
          <w:rFonts w:hint="eastAsia"/>
          <w:iCs/>
          <w:color w:val="auto"/>
          <w:spacing w:val="-10"/>
          <w:sz w:val="28"/>
          <w:szCs w:val="28"/>
          <w:highlight w:val="none"/>
          <w:u w:val="single"/>
        </w:rPr>
        <w:tab/>
      </w:r>
      <w:r>
        <w:rPr>
          <w:iCs/>
          <w:color w:val="auto"/>
          <w:spacing w:val="-10"/>
          <w:sz w:val="28"/>
          <w:szCs w:val="28"/>
          <w:highlight w:val="none"/>
          <w:u w:val="single"/>
        </w:rPr>
        <w:t xml:space="preserve">   </w:t>
      </w:r>
      <w:r>
        <w:rPr>
          <w:i/>
          <w:color w:val="auto"/>
          <w:spacing w:val="-10"/>
          <w:sz w:val="28"/>
          <w:szCs w:val="28"/>
          <w:highlight w:val="none"/>
          <w:u w:val="single"/>
        </w:rPr>
        <w:t xml:space="preserve">   </w:t>
      </w:r>
      <w:r>
        <w:rPr>
          <w:rFonts w:hint="eastAsia"/>
          <w:color w:val="auto"/>
          <w:spacing w:val="-10"/>
          <w:sz w:val="28"/>
          <w:szCs w:val="28"/>
          <w:highlight w:val="none"/>
        </w:rPr>
        <w:t>（盖章）</w:t>
      </w:r>
    </w:p>
    <w:p>
      <w:pPr>
        <w:spacing w:line="600" w:lineRule="exact"/>
        <w:ind w:firstLine="700" w:firstLineChars="250"/>
        <w:rPr>
          <w:color w:val="auto"/>
          <w:sz w:val="28"/>
          <w:highlight w:val="none"/>
          <w:u w:val="single"/>
        </w:rPr>
      </w:pPr>
      <w:r>
        <w:rPr>
          <w:rFonts w:hint="eastAsia"/>
          <w:color w:val="auto"/>
          <w:sz w:val="28"/>
          <w:highlight w:val="none"/>
        </w:rPr>
        <w:t>联系人：</w:t>
      </w:r>
      <w:r>
        <w:rPr>
          <w:i/>
          <w:color w:val="auto"/>
          <w:sz w:val="28"/>
          <w:highlight w:val="none"/>
          <w:u w:val="single"/>
        </w:rPr>
        <w:t xml:space="preserve"> </w:t>
      </w:r>
      <w:r>
        <w:rPr>
          <w:rFonts w:hint="eastAsia"/>
          <w:iCs/>
          <w:color w:val="auto"/>
          <w:sz w:val="28"/>
          <w:highlight w:val="none"/>
          <w:u w:val="single"/>
        </w:rPr>
        <w:t>张雅美</w:t>
      </w:r>
      <w:r>
        <w:rPr>
          <w:iCs/>
          <w:color w:val="auto"/>
          <w:sz w:val="28"/>
          <w:highlight w:val="none"/>
          <w:u w:val="single"/>
        </w:rPr>
        <w:t xml:space="preserve"> </w:t>
      </w:r>
      <w:r>
        <w:rPr>
          <w:color w:val="auto"/>
          <w:sz w:val="28"/>
          <w:highlight w:val="none"/>
          <w:u w:val="single"/>
        </w:rPr>
        <w:t xml:space="preserve"> </w:t>
      </w:r>
      <w:r>
        <w:rPr>
          <w:rFonts w:hint="eastAsia"/>
          <w:color w:val="auto"/>
          <w:sz w:val="28"/>
          <w:highlight w:val="none"/>
          <w:u w:val="single"/>
        </w:rPr>
        <w:t xml:space="preserve"> </w:t>
      </w:r>
      <w:r>
        <w:rPr>
          <w:rFonts w:hint="eastAsia"/>
          <w:color w:val="auto"/>
          <w:sz w:val="28"/>
          <w:highlight w:val="none"/>
        </w:rPr>
        <w:t>电</w:t>
      </w:r>
      <w:r>
        <w:rPr>
          <w:color w:val="auto"/>
          <w:sz w:val="28"/>
          <w:highlight w:val="none"/>
        </w:rPr>
        <w:t xml:space="preserve">    </w:t>
      </w:r>
      <w:r>
        <w:rPr>
          <w:rFonts w:hint="eastAsia"/>
          <w:color w:val="auto"/>
          <w:sz w:val="28"/>
          <w:highlight w:val="none"/>
        </w:rPr>
        <w:t>话：</w:t>
      </w:r>
      <w:r>
        <w:rPr>
          <w:rFonts w:hint="eastAsia"/>
          <w:color w:val="auto"/>
          <w:sz w:val="28"/>
          <w:highlight w:val="none"/>
          <w:u w:val="single"/>
        </w:rPr>
        <w:t xml:space="preserve">0575-85209901  </w:t>
      </w:r>
    </w:p>
    <w:p>
      <w:pPr>
        <w:spacing w:line="600" w:lineRule="exact"/>
        <w:ind w:firstLine="700" w:firstLineChars="250"/>
        <w:rPr>
          <w:color w:val="auto"/>
          <w:sz w:val="28"/>
          <w:highlight w:val="none"/>
          <w:u w:val="single"/>
        </w:rPr>
      </w:pPr>
      <w:r>
        <w:rPr>
          <w:rFonts w:hint="eastAsia"/>
          <w:color w:val="auto"/>
          <w:sz w:val="28"/>
          <w:highlight w:val="none"/>
        </w:rPr>
        <w:t>手  机：</w:t>
      </w:r>
      <w:r>
        <w:rPr>
          <w:rFonts w:hint="eastAsia"/>
          <w:color w:val="auto"/>
          <w:sz w:val="28"/>
          <w:highlight w:val="none"/>
          <w:u w:val="single"/>
        </w:rPr>
        <w:t xml:space="preserve">13957571013  </w:t>
      </w:r>
    </w:p>
    <w:p>
      <w:pPr>
        <w:spacing w:line="600" w:lineRule="exact"/>
        <w:ind w:firstLine="700" w:firstLineChars="250"/>
        <w:rPr>
          <w:color w:val="auto"/>
          <w:sz w:val="28"/>
          <w:highlight w:val="none"/>
        </w:rPr>
      </w:pPr>
      <w:r>
        <w:rPr>
          <w:rFonts w:hint="eastAsia"/>
          <w:color w:val="auto"/>
          <w:sz w:val="28"/>
          <w:highlight w:val="none"/>
        </w:rPr>
        <w:t>签发日期：</w:t>
      </w:r>
      <w:r>
        <w:rPr>
          <w:rFonts w:hint="eastAsia"/>
          <w:i w:val="0"/>
          <w:iCs/>
          <w:color w:val="auto"/>
          <w:sz w:val="28"/>
          <w:highlight w:val="none"/>
          <w:u w:val="single"/>
          <w:lang w:val="en-US" w:eastAsia="zh-CN"/>
        </w:rPr>
        <w:t>2022</w:t>
      </w:r>
      <w:r>
        <w:rPr>
          <w:i/>
          <w:color w:val="auto"/>
          <w:sz w:val="28"/>
          <w:highlight w:val="none"/>
          <w:u w:val="single"/>
        </w:rPr>
        <w:t xml:space="preserve"> </w:t>
      </w:r>
      <w:r>
        <w:rPr>
          <w:rFonts w:hint="eastAsia"/>
          <w:color w:val="auto"/>
          <w:sz w:val="28"/>
          <w:highlight w:val="none"/>
        </w:rPr>
        <w:t>年</w:t>
      </w:r>
      <w:r>
        <w:rPr>
          <w:i/>
          <w:color w:val="auto"/>
          <w:sz w:val="28"/>
          <w:highlight w:val="none"/>
          <w:u w:val="single"/>
        </w:rPr>
        <w:t xml:space="preserve">     </w:t>
      </w:r>
      <w:r>
        <w:rPr>
          <w:rFonts w:hint="eastAsia"/>
          <w:color w:val="auto"/>
          <w:sz w:val="28"/>
          <w:highlight w:val="none"/>
        </w:rPr>
        <w:t>月</w:t>
      </w:r>
      <w:r>
        <w:rPr>
          <w:i/>
          <w:color w:val="auto"/>
          <w:sz w:val="28"/>
          <w:highlight w:val="none"/>
          <w:u w:val="single"/>
        </w:rPr>
        <w:t xml:space="preserve">     </w:t>
      </w:r>
      <w:r>
        <w:rPr>
          <w:rFonts w:hint="eastAsia"/>
          <w:color w:val="auto"/>
          <w:sz w:val="28"/>
          <w:highlight w:val="none"/>
        </w:rPr>
        <w:t>日</w:t>
      </w:r>
    </w:p>
    <w:p>
      <w:pPr>
        <w:spacing w:line="540" w:lineRule="exact"/>
        <w:rPr>
          <w:color w:val="auto"/>
          <w:sz w:val="28"/>
          <w:highlight w:val="none"/>
          <w:u w:val="single"/>
        </w:rPr>
      </w:pPr>
    </w:p>
    <w:p>
      <w:pPr>
        <w:spacing w:line="360" w:lineRule="auto"/>
        <w:ind w:firstLine="700" w:firstLineChars="250"/>
        <w:rPr>
          <w:color w:val="auto"/>
          <w:sz w:val="28"/>
          <w:highlight w:val="none"/>
        </w:rPr>
      </w:pPr>
      <w:r>
        <w:rPr>
          <w:rFonts w:hint="eastAsia"/>
          <w:color w:val="auto"/>
          <w:sz w:val="28"/>
          <w:highlight w:val="none"/>
        </w:rPr>
        <w:t>备案单位：</w:t>
      </w:r>
      <w:r>
        <w:rPr>
          <w:i/>
          <w:color w:val="auto"/>
          <w:sz w:val="28"/>
          <w:highlight w:val="none"/>
          <w:u w:val="single"/>
        </w:rPr>
        <w:t xml:space="preserve">                                 </w:t>
      </w:r>
      <w:r>
        <w:rPr>
          <w:rFonts w:hint="eastAsia"/>
          <w:color w:val="auto"/>
          <w:sz w:val="28"/>
          <w:highlight w:val="none"/>
        </w:rPr>
        <w:t>（盖章）</w:t>
      </w:r>
    </w:p>
    <w:p>
      <w:pPr>
        <w:spacing w:line="360" w:lineRule="auto"/>
        <w:ind w:firstLine="700" w:firstLineChars="250"/>
        <w:rPr>
          <w:color w:val="auto"/>
          <w:sz w:val="28"/>
          <w:highlight w:val="none"/>
        </w:rPr>
      </w:pPr>
      <w:r>
        <w:rPr>
          <w:rFonts w:hint="eastAsia"/>
          <w:color w:val="auto"/>
          <w:sz w:val="28"/>
          <w:highlight w:val="none"/>
        </w:rPr>
        <w:t>备案经办人：</w:t>
      </w:r>
      <w:r>
        <w:rPr>
          <w:i/>
          <w:color w:val="auto"/>
          <w:sz w:val="28"/>
          <w:highlight w:val="none"/>
          <w:u w:val="single"/>
        </w:rPr>
        <w:t xml:space="preserve">                               </w:t>
      </w:r>
      <w:r>
        <w:rPr>
          <w:rFonts w:hint="eastAsia"/>
          <w:color w:val="auto"/>
          <w:sz w:val="28"/>
          <w:highlight w:val="none"/>
        </w:rPr>
        <w:t>（签字）</w:t>
      </w:r>
    </w:p>
    <w:p>
      <w:pPr>
        <w:spacing w:line="360" w:lineRule="auto"/>
        <w:ind w:firstLine="700" w:firstLineChars="250"/>
        <w:rPr>
          <w:color w:val="auto"/>
          <w:sz w:val="44"/>
          <w:highlight w:val="none"/>
        </w:rPr>
        <w:sectPr>
          <w:footerReference r:id="rId3" w:type="default"/>
          <w:pgSz w:w="11905" w:h="16838"/>
          <w:pgMar w:top="1417" w:right="1134" w:bottom="1417" w:left="1134" w:header="680" w:footer="680" w:gutter="0"/>
          <w:cols w:space="0" w:num="1"/>
        </w:sectPr>
      </w:pPr>
      <w:r>
        <w:rPr>
          <w:rFonts w:hint="eastAsia"/>
          <w:color w:val="auto"/>
          <w:sz w:val="28"/>
          <w:highlight w:val="none"/>
        </w:rPr>
        <w:t>备案日期：</w:t>
      </w:r>
      <w:r>
        <w:rPr>
          <w:rFonts w:hint="eastAsia"/>
          <w:i w:val="0"/>
          <w:iCs/>
          <w:color w:val="auto"/>
          <w:sz w:val="28"/>
          <w:highlight w:val="none"/>
          <w:u w:val="single"/>
          <w:lang w:val="en-US" w:eastAsia="zh-CN"/>
        </w:rPr>
        <w:t>2022</w:t>
      </w:r>
      <w:r>
        <w:rPr>
          <w:i/>
          <w:color w:val="auto"/>
          <w:sz w:val="28"/>
          <w:highlight w:val="none"/>
          <w:u w:val="single"/>
        </w:rPr>
        <w:t xml:space="preserve"> </w:t>
      </w:r>
      <w:r>
        <w:rPr>
          <w:rFonts w:hint="eastAsia"/>
          <w:color w:val="auto"/>
          <w:sz w:val="28"/>
          <w:highlight w:val="none"/>
        </w:rPr>
        <w:t>年</w:t>
      </w:r>
      <w:r>
        <w:rPr>
          <w:i/>
          <w:color w:val="auto"/>
          <w:sz w:val="28"/>
          <w:highlight w:val="none"/>
          <w:u w:val="single"/>
        </w:rPr>
        <w:t xml:space="preserve">     </w:t>
      </w:r>
      <w:r>
        <w:rPr>
          <w:rFonts w:hint="eastAsia"/>
          <w:color w:val="auto"/>
          <w:sz w:val="28"/>
          <w:highlight w:val="none"/>
        </w:rPr>
        <w:t>月</w:t>
      </w:r>
      <w:r>
        <w:rPr>
          <w:i/>
          <w:color w:val="auto"/>
          <w:sz w:val="28"/>
          <w:highlight w:val="none"/>
          <w:u w:val="single"/>
        </w:rPr>
        <w:t xml:space="preserve">     </w:t>
      </w:r>
      <w:r>
        <w:rPr>
          <w:rFonts w:hint="eastAsia"/>
          <w:color w:val="auto"/>
          <w:sz w:val="28"/>
          <w:highlight w:val="none"/>
        </w:rPr>
        <w:t>日</w:t>
      </w:r>
    </w:p>
    <w:p>
      <w:pPr>
        <w:pStyle w:val="5"/>
        <w:rPr>
          <w:color w:val="auto"/>
          <w:highlight w:val="none"/>
        </w:rPr>
      </w:pPr>
      <w:bookmarkStart w:id="0" w:name="_Toc10676"/>
      <w:r>
        <w:rPr>
          <w:rFonts w:hint="eastAsia"/>
          <w:color w:val="auto"/>
          <w:highlight w:val="none"/>
        </w:rPr>
        <w:t>第一章 招标公告</w:t>
      </w:r>
      <w:bookmarkEnd w:id="0"/>
    </w:p>
    <w:p>
      <w:pPr>
        <w:spacing w:line="340" w:lineRule="exact"/>
        <w:jc w:val="center"/>
        <w:rPr>
          <w:rFonts w:ascii="宋体" w:hAnsi="宋体"/>
          <w:b/>
          <w:color w:val="auto"/>
          <w:sz w:val="32"/>
          <w:szCs w:val="32"/>
          <w:highlight w:val="none"/>
        </w:rPr>
      </w:pPr>
      <w:r>
        <w:rPr>
          <w:rFonts w:hint="eastAsia" w:ascii="宋体" w:hAnsi="宋体"/>
          <w:color w:val="auto"/>
          <w:sz w:val="30"/>
          <w:szCs w:val="30"/>
          <w:highlight w:val="none"/>
          <w:u w:val="single"/>
        </w:rPr>
        <w:t>绍兴市妇幼保健院（绍兴市儿童医院）建设项目净化项目（重新招标</w:t>
      </w:r>
      <w:r>
        <w:rPr>
          <w:rFonts w:hint="eastAsia" w:ascii="宋体" w:hAnsi="宋体"/>
          <w:color w:val="auto"/>
          <w:sz w:val="30"/>
          <w:szCs w:val="30"/>
          <w:highlight w:val="none"/>
          <w:u w:val="single"/>
          <w:lang w:val="en-US" w:eastAsia="zh-CN"/>
        </w:rPr>
        <w:t>第二次</w:t>
      </w:r>
      <w:r>
        <w:rPr>
          <w:rFonts w:hint="eastAsia" w:ascii="宋体" w:hAnsi="宋体"/>
          <w:color w:val="auto"/>
          <w:sz w:val="30"/>
          <w:szCs w:val="30"/>
          <w:highlight w:val="none"/>
          <w:u w:val="single"/>
        </w:rPr>
        <w:t xml:space="preserve">） </w:t>
      </w:r>
      <w:r>
        <w:rPr>
          <w:rFonts w:hint="eastAsia" w:ascii="宋体" w:hAnsi="宋体"/>
          <w:b/>
          <w:color w:val="auto"/>
          <w:sz w:val="32"/>
          <w:szCs w:val="32"/>
          <w:highlight w:val="none"/>
        </w:rPr>
        <w:t>招标公告</w:t>
      </w:r>
    </w:p>
    <w:p>
      <w:pPr>
        <w:spacing w:line="340" w:lineRule="exact"/>
        <w:ind w:firstLine="420" w:firstLineChars="200"/>
        <w:jc w:val="left"/>
        <w:rPr>
          <w:rFonts w:ascii="宋体" w:hAnsi="宋体"/>
          <w:color w:val="auto"/>
          <w:sz w:val="18"/>
          <w:szCs w:val="18"/>
          <w:highlight w:val="none"/>
          <w:u w:val="single"/>
        </w:rPr>
      </w:pPr>
      <w:r>
        <w:rPr>
          <w:rFonts w:hint="eastAsia" w:ascii="宋体" w:hAnsi="宋体" w:cs="宋体"/>
          <w:color w:val="auto"/>
          <w:szCs w:val="21"/>
          <w:highlight w:val="none"/>
        </w:rPr>
        <w:t>绍兴市妇幼保健院（绍兴市儿童医院）建设项目净化项目已于2022年1月24日在绍兴市公共资源交易中心网上发布招标信息，至投标保证金缴纳截止时间2022年2月11日17:00时，缴纳投标保证金的单位不足3家。</w:t>
      </w:r>
      <w:r>
        <w:rPr>
          <w:rFonts w:hint="eastAsia" w:ascii="宋体" w:hAnsi="宋体" w:eastAsia="宋体" w:cs="宋体"/>
          <w:color w:val="auto"/>
          <w:sz w:val="21"/>
          <w:szCs w:val="21"/>
          <w:highlight w:val="none"/>
          <w:lang w:val="en-US" w:eastAsia="zh-CN"/>
        </w:rPr>
        <w:t>又于</w:t>
      </w:r>
      <w:r>
        <w:rPr>
          <w:rFonts w:hint="eastAsia" w:ascii="宋体" w:hAnsi="宋体" w:eastAsia="宋体" w:cs="宋体"/>
          <w:color w:val="auto"/>
          <w:sz w:val="21"/>
          <w:szCs w:val="21"/>
          <w:highlight w:val="none"/>
        </w:rPr>
        <w:t>202</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年</w:t>
      </w: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rPr>
        <w:t>月</w:t>
      </w:r>
      <w:r>
        <w:rPr>
          <w:rFonts w:hint="eastAsia" w:ascii="宋体" w:hAnsi="宋体" w:eastAsia="宋体" w:cs="宋体"/>
          <w:color w:val="auto"/>
          <w:sz w:val="21"/>
          <w:szCs w:val="21"/>
          <w:highlight w:val="none"/>
          <w:lang w:val="en-US" w:eastAsia="zh-CN"/>
        </w:rPr>
        <w:t>6日</w:t>
      </w:r>
      <w:r>
        <w:rPr>
          <w:rFonts w:hint="eastAsia" w:ascii="宋体" w:hAnsi="宋体" w:eastAsia="宋体" w:cs="宋体"/>
          <w:color w:val="auto"/>
          <w:sz w:val="21"/>
          <w:szCs w:val="21"/>
          <w:highlight w:val="none"/>
        </w:rPr>
        <w:t>在绍兴市公共资源交易中心网上</w:t>
      </w:r>
      <w:r>
        <w:rPr>
          <w:rFonts w:hint="eastAsia" w:ascii="宋体" w:hAnsi="宋体" w:eastAsia="宋体" w:cs="宋体"/>
          <w:color w:val="auto"/>
          <w:sz w:val="21"/>
          <w:szCs w:val="21"/>
          <w:highlight w:val="none"/>
          <w:lang w:val="en-US" w:eastAsia="zh-CN"/>
        </w:rPr>
        <w:t>重新</w:t>
      </w:r>
      <w:r>
        <w:rPr>
          <w:rFonts w:hint="eastAsia" w:ascii="宋体" w:hAnsi="宋体" w:eastAsia="宋体" w:cs="宋体"/>
          <w:color w:val="auto"/>
          <w:sz w:val="21"/>
          <w:szCs w:val="21"/>
          <w:highlight w:val="none"/>
        </w:rPr>
        <w:t>发布招标信息，</w:t>
      </w:r>
      <w:r>
        <w:rPr>
          <w:rFonts w:hint="eastAsia" w:ascii="宋体" w:hAnsi="宋体" w:cs="宋体"/>
          <w:color w:val="auto"/>
          <w:sz w:val="21"/>
          <w:szCs w:val="21"/>
          <w:highlight w:val="none"/>
        </w:rPr>
        <w:t>202</w:t>
      </w:r>
      <w:r>
        <w:rPr>
          <w:rFonts w:hint="eastAsia" w:ascii="宋体" w:hAnsi="宋体" w:cs="宋体"/>
          <w:color w:val="auto"/>
          <w:sz w:val="21"/>
          <w:szCs w:val="21"/>
          <w:highlight w:val="none"/>
          <w:lang w:val="en-US" w:eastAsia="zh-CN"/>
        </w:rPr>
        <w:t>2</w:t>
      </w:r>
      <w:r>
        <w:rPr>
          <w:rFonts w:hint="eastAsia" w:ascii="宋体" w:hAnsi="宋体" w:cs="宋体"/>
          <w:color w:val="auto"/>
          <w:sz w:val="21"/>
          <w:szCs w:val="21"/>
          <w:highlight w:val="none"/>
        </w:rPr>
        <w:t>年</w:t>
      </w:r>
      <w:r>
        <w:rPr>
          <w:rFonts w:hint="eastAsia" w:ascii="宋体" w:hAnsi="宋体" w:cs="宋体"/>
          <w:color w:val="auto"/>
          <w:sz w:val="21"/>
          <w:szCs w:val="21"/>
          <w:highlight w:val="none"/>
          <w:lang w:val="en-US" w:eastAsia="zh-CN"/>
        </w:rPr>
        <w:t>4</w:t>
      </w:r>
      <w:r>
        <w:rPr>
          <w:rFonts w:hint="eastAsia" w:ascii="宋体" w:hAnsi="宋体" w:cs="宋体"/>
          <w:color w:val="auto"/>
          <w:sz w:val="21"/>
          <w:szCs w:val="21"/>
          <w:highlight w:val="none"/>
        </w:rPr>
        <w:t>月</w:t>
      </w:r>
      <w:r>
        <w:rPr>
          <w:rFonts w:hint="eastAsia" w:ascii="宋体" w:hAnsi="宋体" w:cs="宋体"/>
          <w:color w:val="auto"/>
          <w:sz w:val="21"/>
          <w:szCs w:val="21"/>
          <w:highlight w:val="none"/>
          <w:lang w:val="en-US" w:eastAsia="zh-CN"/>
        </w:rPr>
        <w:t>28</w:t>
      </w:r>
      <w:r>
        <w:rPr>
          <w:rFonts w:hint="eastAsia" w:ascii="宋体" w:hAnsi="宋体" w:cs="宋体"/>
          <w:color w:val="auto"/>
          <w:sz w:val="21"/>
          <w:szCs w:val="21"/>
          <w:highlight w:val="none"/>
        </w:rPr>
        <w:t>日09:30时在绍兴市公共资源交易中心开标，</w:t>
      </w:r>
      <w:r>
        <w:rPr>
          <w:rFonts w:hint="eastAsia" w:ascii="宋体" w:hAnsi="宋体" w:cs="宋体"/>
          <w:color w:val="auto"/>
          <w:sz w:val="21"/>
          <w:szCs w:val="21"/>
          <w:highlight w:val="none"/>
          <w:lang w:val="en-US" w:eastAsia="zh-CN"/>
        </w:rPr>
        <w:t>因</w:t>
      </w:r>
      <w:r>
        <w:rPr>
          <w:rFonts w:hint="eastAsia" w:ascii="宋体" w:hAnsi="宋体" w:cs="宋体"/>
          <w:color w:val="auto"/>
          <w:sz w:val="21"/>
          <w:szCs w:val="21"/>
          <w:highlight w:val="none"/>
        </w:rPr>
        <w:t>有效投标单位不足3家流标</w:t>
      </w:r>
      <w:r>
        <w:rPr>
          <w:rFonts w:hint="eastAsia" w:ascii="宋体" w:hAnsi="宋体" w:eastAsia="宋体" w:cs="宋体"/>
          <w:color w:val="auto"/>
          <w:sz w:val="21"/>
          <w:szCs w:val="21"/>
          <w:highlight w:val="none"/>
        </w:rPr>
        <w:t>。</w:t>
      </w:r>
      <w:r>
        <w:rPr>
          <w:rFonts w:hint="eastAsia" w:ascii="宋体" w:hAnsi="宋体" w:cs="宋体"/>
          <w:color w:val="auto"/>
          <w:szCs w:val="21"/>
          <w:highlight w:val="none"/>
        </w:rPr>
        <w:t>根据相关规定要求，重新发布招标信息，重新组织招标。</w:t>
      </w:r>
    </w:p>
    <w:p>
      <w:pPr>
        <w:widowControl/>
        <w:spacing w:line="360" w:lineRule="exact"/>
        <w:rPr>
          <w:rFonts w:ascii="宋体" w:hAnsi="宋体" w:cs="Arial"/>
          <w:color w:val="auto"/>
          <w:szCs w:val="21"/>
          <w:highlight w:val="none"/>
        </w:rPr>
      </w:pPr>
      <w:r>
        <w:rPr>
          <w:rFonts w:hint="eastAsia" w:ascii="宋体" w:hAnsi="宋体" w:cs="Arial"/>
          <w:color w:val="auto"/>
          <w:szCs w:val="21"/>
          <w:highlight w:val="none"/>
        </w:rPr>
        <w:t>1.招标条件</w:t>
      </w:r>
    </w:p>
    <w:p>
      <w:pPr>
        <w:widowControl/>
        <w:spacing w:line="360" w:lineRule="exact"/>
        <w:ind w:firstLine="420" w:firstLineChars="200"/>
        <w:rPr>
          <w:rFonts w:ascii="宋体" w:hAnsi="宋体" w:cs="Arial"/>
          <w:color w:val="auto"/>
          <w:szCs w:val="21"/>
          <w:highlight w:val="none"/>
        </w:rPr>
      </w:pPr>
      <w:r>
        <w:rPr>
          <w:rFonts w:ascii="宋体" w:hAnsi="宋体" w:cs="Arial"/>
          <w:color w:val="auto"/>
          <w:szCs w:val="21"/>
          <w:highlight w:val="none"/>
        </w:rPr>
        <w:t>本招标项目</w:t>
      </w:r>
      <w:r>
        <w:rPr>
          <w:rFonts w:hint="eastAsia" w:ascii="宋体" w:hAnsi="宋体" w:cs="宋体"/>
          <w:b/>
          <w:bCs/>
          <w:color w:val="auto"/>
          <w:szCs w:val="21"/>
          <w:highlight w:val="none"/>
          <w:u w:val="single"/>
        </w:rPr>
        <w:t>绍兴市妇幼保健院（绍兴市儿童医院）建设项目</w:t>
      </w:r>
      <w:r>
        <w:rPr>
          <w:rFonts w:ascii="宋体" w:hAnsi="宋体" w:cs="Arial"/>
          <w:color w:val="auto"/>
          <w:szCs w:val="21"/>
          <w:highlight w:val="none"/>
        </w:rPr>
        <w:t>（项目名称）已由</w:t>
      </w:r>
      <w:r>
        <w:rPr>
          <w:rFonts w:hint="eastAsia" w:ascii="宋体" w:hAnsi="宋体" w:cs="Arial"/>
          <w:b/>
          <w:color w:val="auto"/>
          <w:szCs w:val="21"/>
          <w:highlight w:val="none"/>
          <w:u w:val="single"/>
        </w:rPr>
        <w:t>绍兴市发展和改革委员会</w:t>
      </w:r>
      <w:r>
        <w:rPr>
          <w:rFonts w:ascii="宋体" w:hAnsi="宋体" w:cs="Arial"/>
          <w:color w:val="auto"/>
          <w:szCs w:val="21"/>
          <w:highlight w:val="none"/>
          <w:u w:val="single"/>
        </w:rPr>
        <w:t>（</w:t>
      </w:r>
      <w:r>
        <w:rPr>
          <w:rFonts w:ascii="宋体" w:hAnsi="宋体" w:cs="Arial"/>
          <w:color w:val="auto"/>
          <w:szCs w:val="21"/>
          <w:highlight w:val="none"/>
        </w:rPr>
        <w:t>项目审批、核准或备案机关名称）以</w:t>
      </w:r>
      <w:r>
        <w:rPr>
          <w:rFonts w:hint="eastAsia" w:ascii="宋体" w:hAnsi="宋体" w:cs="Arial"/>
          <w:b/>
          <w:color w:val="auto"/>
          <w:szCs w:val="21"/>
          <w:highlight w:val="none"/>
          <w:u w:val="single"/>
        </w:rPr>
        <w:t>绍市发改中心【2019】29号</w:t>
      </w:r>
      <w:r>
        <w:rPr>
          <w:rFonts w:ascii="宋体" w:hAnsi="宋体" w:cs="Arial"/>
          <w:color w:val="auto"/>
          <w:szCs w:val="21"/>
          <w:highlight w:val="none"/>
        </w:rPr>
        <w:t>（批文名称及编号）批准建设，项目业主为</w:t>
      </w:r>
      <w:r>
        <w:rPr>
          <w:rFonts w:hint="eastAsia" w:ascii="宋体" w:hAnsi="宋体" w:cs="Arial"/>
          <w:b/>
          <w:iCs/>
          <w:color w:val="auto"/>
          <w:szCs w:val="21"/>
          <w:highlight w:val="none"/>
          <w:u w:val="single"/>
        </w:rPr>
        <w:t>绍兴市妇幼保健院</w:t>
      </w:r>
      <w:r>
        <w:rPr>
          <w:rFonts w:ascii="宋体" w:hAnsi="宋体" w:cs="Arial"/>
          <w:color w:val="auto"/>
          <w:szCs w:val="21"/>
          <w:highlight w:val="none"/>
        </w:rPr>
        <w:t>，建设资金来自</w:t>
      </w:r>
      <w:r>
        <w:rPr>
          <w:rFonts w:hint="eastAsia" w:ascii="宋体" w:hAnsi="宋体" w:cs="宋体"/>
          <w:b/>
          <w:color w:val="auto"/>
          <w:szCs w:val="21"/>
          <w:highlight w:val="none"/>
          <w:u w:val="single"/>
        </w:rPr>
        <w:t>市财政</w:t>
      </w:r>
      <w:r>
        <w:rPr>
          <w:rFonts w:ascii="宋体" w:hAnsi="宋体" w:cs="Arial"/>
          <w:color w:val="auto"/>
          <w:szCs w:val="21"/>
          <w:highlight w:val="none"/>
        </w:rPr>
        <w:t>（资金来源），项目出资比例为</w:t>
      </w:r>
      <w:r>
        <w:rPr>
          <w:rFonts w:hint="eastAsia" w:ascii="宋体" w:hAnsi="宋体" w:cs="Arial"/>
          <w:b/>
          <w:color w:val="auto"/>
          <w:szCs w:val="21"/>
          <w:highlight w:val="none"/>
          <w:u w:val="single"/>
        </w:rPr>
        <w:t>100%</w:t>
      </w:r>
      <w:r>
        <w:rPr>
          <w:rFonts w:ascii="宋体" w:hAnsi="宋体" w:cs="Arial"/>
          <w:color w:val="auto"/>
          <w:szCs w:val="21"/>
          <w:highlight w:val="none"/>
        </w:rPr>
        <w:t>，招标人为</w:t>
      </w:r>
      <w:r>
        <w:rPr>
          <w:rFonts w:hint="eastAsia" w:ascii="宋体" w:hAnsi="宋体" w:cs="Arial"/>
          <w:b/>
          <w:iCs/>
          <w:color w:val="auto"/>
          <w:szCs w:val="21"/>
          <w:highlight w:val="none"/>
          <w:u w:val="single"/>
        </w:rPr>
        <w:t>浙江精工钢结构集团有限公司</w:t>
      </w:r>
      <w:r>
        <w:rPr>
          <w:rFonts w:ascii="宋体" w:hAnsi="宋体" w:cs="Arial"/>
          <w:color w:val="auto"/>
          <w:szCs w:val="21"/>
          <w:highlight w:val="none"/>
        </w:rPr>
        <w:t>。项目已具备招标条件，现对该项目的</w:t>
      </w:r>
      <w:r>
        <w:rPr>
          <w:rFonts w:hint="eastAsia" w:ascii="宋体" w:hAnsi="宋体"/>
          <w:b/>
          <w:color w:val="auto"/>
          <w:kern w:val="58"/>
          <w:szCs w:val="21"/>
          <w:highlight w:val="none"/>
          <w:u w:val="single"/>
        </w:rPr>
        <w:t>净化项目</w:t>
      </w:r>
      <w:r>
        <w:rPr>
          <w:rFonts w:ascii="宋体" w:hAnsi="宋体" w:cs="Arial"/>
          <w:color w:val="auto"/>
          <w:szCs w:val="21"/>
          <w:highlight w:val="none"/>
        </w:rPr>
        <w:t>进行</w:t>
      </w:r>
      <w:r>
        <w:rPr>
          <w:rFonts w:hint="eastAsia" w:ascii="宋体" w:hAnsi="宋体" w:cs="Arial"/>
          <w:b/>
          <w:color w:val="auto"/>
          <w:szCs w:val="21"/>
          <w:highlight w:val="none"/>
          <w:u w:val="single"/>
        </w:rPr>
        <w:t>公开</w:t>
      </w:r>
      <w:r>
        <w:rPr>
          <w:rFonts w:ascii="宋体" w:hAnsi="宋体" w:cs="Arial"/>
          <w:color w:val="auto"/>
          <w:szCs w:val="21"/>
          <w:highlight w:val="none"/>
        </w:rPr>
        <w:t>招标。</w:t>
      </w:r>
    </w:p>
    <w:p>
      <w:pPr>
        <w:widowControl/>
        <w:spacing w:line="360" w:lineRule="exact"/>
        <w:rPr>
          <w:rFonts w:ascii="宋体" w:hAnsi="宋体" w:cs="Arial"/>
          <w:color w:val="auto"/>
          <w:szCs w:val="21"/>
          <w:highlight w:val="none"/>
        </w:rPr>
      </w:pPr>
      <w:r>
        <w:rPr>
          <w:rFonts w:hint="eastAsia" w:ascii="宋体" w:hAnsi="宋体" w:cs="Arial"/>
          <w:color w:val="auto"/>
          <w:szCs w:val="21"/>
          <w:highlight w:val="none"/>
        </w:rPr>
        <w:t>2.项目概况与招标范围</w:t>
      </w:r>
    </w:p>
    <w:p>
      <w:pPr>
        <w:widowControl/>
        <w:spacing w:line="360" w:lineRule="exact"/>
        <w:rPr>
          <w:rFonts w:ascii="宋体" w:hAnsi="宋体" w:cs="Arial"/>
          <w:color w:val="auto"/>
          <w:szCs w:val="21"/>
          <w:highlight w:val="none"/>
        </w:rPr>
      </w:pPr>
      <w:r>
        <w:rPr>
          <w:rFonts w:ascii="宋体" w:hAnsi="宋体" w:cs="Arial"/>
          <w:color w:val="auto"/>
          <w:szCs w:val="21"/>
          <w:highlight w:val="none"/>
        </w:rPr>
        <w:t>2.1 建设地点：</w:t>
      </w:r>
      <w:r>
        <w:rPr>
          <w:rFonts w:hint="eastAsia" w:ascii="宋体" w:hAnsi="宋体" w:cs="Arial"/>
          <w:b/>
          <w:color w:val="auto"/>
          <w:szCs w:val="21"/>
          <w:highlight w:val="none"/>
          <w:u w:val="single"/>
        </w:rPr>
        <w:t>绍兴市越城区</w:t>
      </w:r>
      <w:r>
        <w:rPr>
          <w:rFonts w:ascii="宋体" w:hAnsi="宋体" w:cs="Arial"/>
          <w:color w:val="auto"/>
          <w:szCs w:val="21"/>
          <w:highlight w:val="none"/>
        </w:rPr>
        <w:t>。</w:t>
      </w:r>
    </w:p>
    <w:p>
      <w:pPr>
        <w:widowControl/>
        <w:spacing w:line="360" w:lineRule="exact"/>
        <w:rPr>
          <w:rFonts w:ascii="宋体" w:hAnsi="宋体" w:cs="Arial"/>
          <w:color w:val="auto"/>
          <w:szCs w:val="21"/>
          <w:highlight w:val="none"/>
        </w:rPr>
      </w:pPr>
      <w:r>
        <w:rPr>
          <w:rFonts w:ascii="宋体" w:hAnsi="宋体" w:cs="Arial"/>
          <w:color w:val="auto"/>
          <w:szCs w:val="21"/>
          <w:highlight w:val="none"/>
        </w:rPr>
        <w:t>2.2 建设规模：</w:t>
      </w:r>
      <w:r>
        <w:rPr>
          <w:rFonts w:hint="eastAsia" w:ascii="宋体" w:hAnsi="宋体" w:cs="宋体"/>
          <w:b/>
          <w:bCs/>
          <w:color w:val="auto"/>
          <w:szCs w:val="21"/>
          <w:highlight w:val="none"/>
          <w:u w:val="single"/>
        </w:rPr>
        <w:t>项目总用地面积85933平方米，总建筑面积约202998.96平方米（其中地上建筑面积134103.66平方米，地下建筑面积68895.3平方米），机动车停车位1551个，床位1500张（其中核定床位1000张，预留500张作为发展用床），总投资148848.2万元，建安费127633.56万元。建设内容包括：门急诊医技综合楼、行政后勤楼、妇幼保健楼、住院楼、污水处理站、配电房和柴油发电机用房等，其中门急诊楼医技综合楼、行政后勤楼、儿科住院楼、妇科住院楼等主体为钢框架结构，单体60％装配率</w:t>
      </w:r>
      <w:r>
        <w:rPr>
          <w:rFonts w:ascii="宋体" w:hAnsi="宋体" w:cs="Arial"/>
          <w:color w:val="auto"/>
          <w:szCs w:val="21"/>
          <w:highlight w:val="none"/>
        </w:rPr>
        <w:t>。</w:t>
      </w:r>
      <w:r>
        <w:rPr>
          <w:rFonts w:hint="eastAsia" w:ascii="宋体" w:hAnsi="宋体" w:cs="Arial"/>
          <w:color w:val="auto"/>
          <w:szCs w:val="21"/>
          <w:highlight w:val="none"/>
        </w:rPr>
        <w:t>招标</w:t>
      </w:r>
      <w:r>
        <w:rPr>
          <w:rFonts w:ascii="宋体" w:hAnsi="宋体" w:cs="Arial"/>
          <w:color w:val="auto"/>
          <w:szCs w:val="21"/>
          <w:highlight w:val="none"/>
        </w:rPr>
        <w:t>估算价：</w:t>
      </w:r>
      <w:r>
        <w:rPr>
          <w:rFonts w:hint="eastAsia" w:ascii="宋体" w:hAnsi="宋体" w:cs="Arial"/>
          <w:b/>
          <w:color w:val="auto"/>
          <w:szCs w:val="21"/>
          <w:highlight w:val="none"/>
          <w:u w:val="single"/>
        </w:rPr>
        <w:t>3500</w:t>
      </w:r>
      <w:r>
        <w:rPr>
          <w:rFonts w:ascii="宋体" w:hAnsi="宋体" w:cs="Arial"/>
          <w:color w:val="auto"/>
          <w:szCs w:val="21"/>
          <w:highlight w:val="none"/>
        </w:rPr>
        <w:t>万元。</w:t>
      </w:r>
    </w:p>
    <w:p>
      <w:pPr>
        <w:widowControl/>
        <w:spacing w:line="340" w:lineRule="exact"/>
        <w:rPr>
          <w:rFonts w:ascii="宋体" w:hAnsi="宋体" w:cs="宋体"/>
          <w:b/>
          <w:bCs/>
          <w:color w:val="auto"/>
          <w:szCs w:val="21"/>
          <w:highlight w:val="none"/>
          <w:u w:val="single"/>
        </w:rPr>
      </w:pPr>
      <w:r>
        <w:rPr>
          <w:rFonts w:ascii="宋体" w:hAnsi="宋体" w:cs="Arial"/>
          <w:color w:val="auto"/>
          <w:szCs w:val="21"/>
          <w:highlight w:val="none"/>
        </w:rPr>
        <w:t>2.3 招标范围：</w:t>
      </w:r>
      <w:r>
        <w:rPr>
          <w:rFonts w:hint="eastAsia" w:ascii="宋体" w:hAnsi="宋体" w:cs="宋体"/>
          <w:b/>
          <w:bCs/>
          <w:color w:val="auto"/>
          <w:szCs w:val="21"/>
          <w:highlight w:val="none"/>
          <w:u w:val="single"/>
        </w:rPr>
        <w:t>绍兴市妇幼保健院（绍兴市儿童医院）净化工程，范围主要包括：手术部、隔离待产分娩病房、产房手术室、PICU和MICU负压病房、中心供应室、静脉配置中心、病理科PCR实验室、遗传科PCR实验室、细胞、分子实验室等科室工作区域的装饰、空调、强电、弱电、给排水专业，详见招标文件的“技术标准和要求”。</w:t>
      </w:r>
    </w:p>
    <w:p>
      <w:pPr>
        <w:widowControl/>
        <w:spacing w:line="340" w:lineRule="exact"/>
        <w:ind w:firstLine="422" w:firstLineChars="200"/>
        <w:jc w:val="left"/>
        <w:rPr>
          <w:rFonts w:ascii="宋体" w:hAnsi="宋体" w:cs="宋体"/>
          <w:b/>
          <w:bCs/>
          <w:color w:val="auto"/>
          <w:szCs w:val="21"/>
          <w:highlight w:val="none"/>
          <w:u w:val="single"/>
        </w:rPr>
      </w:pPr>
      <w:r>
        <w:rPr>
          <w:rFonts w:hint="eastAsia" w:ascii="宋体" w:hAnsi="宋体" w:cs="宋体"/>
          <w:b/>
          <w:bCs/>
          <w:color w:val="auto"/>
          <w:szCs w:val="21"/>
          <w:highlight w:val="none"/>
          <w:u w:val="single"/>
        </w:rPr>
        <w:t>招标人提供的净化工程的施工图纸及工程量清单中的所有内容，包括净化系统的进一步深化设计、预留孔洞、设备基础、预埋铁构件、预埋管、套管及其封堵、设备材料供货、运输、卸货、保管、施工、安装、调试、检测、并最终通过验收，同时负责技术服务与培训，提交相关技术资料以及质保期内的维修保养等。</w:t>
      </w:r>
    </w:p>
    <w:p>
      <w:pPr>
        <w:spacing w:line="360" w:lineRule="exact"/>
        <w:ind w:firstLine="422" w:firstLineChars="200"/>
        <w:jc w:val="left"/>
        <w:rPr>
          <w:rFonts w:ascii="宋体" w:hAnsi="宋体" w:cs="宋体"/>
          <w:b/>
          <w:bCs/>
          <w:color w:val="auto"/>
          <w:szCs w:val="21"/>
          <w:highlight w:val="none"/>
        </w:rPr>
      </w:pPr>
      <w:r>
        <w:rPr>
          <w:rFonts w:hint="eastAsia" w:ascii="宋体" w:hAnsi="宋体" w:cs="宋体"/>
          <w:b/>
          <w:bCs/>
          <w:color w:val="auto"/>
          <w:szCs w:val="21"/>
          <w:highlight w:val="none"/>
        </w:rPr>
        <w:t>本项目釆用总价承包，工程量清单中的工程量、清单描述若与图纸及答疑不一致时，以图纸及答疑为准并须满足各专业的功能要求，由投标人自行复核计算。图纸需二次深化，中标人需自行或委托有设计资质的单位对图纸进行二次深化（中标之前设计院未修改到位的，需由中标人负责深化），要求二次深化图加盖相应资质的章，经深圳市建筑设计研究总院（及其医疗专项分包单位）审核认可并盖章，且优化方案必须经过业主认可方能最终实施（如有图纸、清单不明确或缺项的内容须无条件按业主要求进行设计和施工，并最终通过验收）。图纸中设备或材料若已有变更升级的相应设备或材料则需变更为升级后的设备或材料经使用人同意，费用也不再增加。使用人有权增减工作范围，该费用应予以增减。招标人所有的变更，必须经过使用人书面同意。</w:t>
      </w:r>
    </w:p>
    <w:p>
      <w:pPr>
        <w:widowControl/>
        <w:spacing w:line="360" w:lineRule="exact"/>
        <w:rPr>
          <w:rFonts w:ascii="宋体" w:hAnsi="宋体" w:cs="Arial"/>
          <w:color w:val="auto"/>
          <w:szCs w:val="21"/>
          <w:highlight w:val="none"/>
        </w:rPr>
      </w:pPr>
      <w:r>
        <w:rPr>
          <w:rFonts w:ascii="宋体" w:hAnsi="宋体" w:cs="Arial"/>
          <w:color w:val="auto"/>
          <w:szCs w:val="21"/>
          <w:highlight w:val="none"/>
        </w:rPr>
        <w:t>2.</w:t>
      </w:r>
      <w:r>
        <w:rPr>
          <w:rFonts w:hint="eastAsia" w:ascii="宋体" w:hAnsi="宋体" w:cs="Arial"/>
          <w:color w:val="auto"/>
          <w:szCs w:val="21"/>
          <w:highlight w:val="none"/>
        </w:rPr>
        <w:t>4</w:t>
      </w:r>
      <w:r>
        <w:rPr>
          <w:rFonts w:ascii="宋体" w:hAnsi="宋体" w:cs="Arial"/>
          <w:color w:val="auto"/>
          <w:szCs w:val="21"/>
          <w:highlight w:val="none"/>
        </w:rPr>
        <w:t>计划工期：</w:t>
      </w:r>
      <w:r>
        <w:rPr>
          <w:rFonts w:hint="eastAsia" w:hAnsi="宋体"/>
          <w:b/>
          <w:bCs/>
          <w:color w:val="auto"/>
          <w:highlight w:val="none"/>
          <w:u w:val="single"/>
        </w:rPr>
        <w:t>以招标人发出的开工指令后180天内，完成设备及材料供货、安装、调试、试运行、独立第三方100%检测、验收及交付使用，具体应与工程施工总进度计划同步</w:t>
      </w:r>
      <w:r>
        <w:rPr>
          <w:rFonts w:hint="eastAsia" w:ascii="宋体" w:hAnsi="宋体" w:cs="Arial"/>
          <w:color w:val="auto"/>
          <w:szCs w:val="21"/>
          <w:highlight w:val="none"/>
        </w:rPr>
        <w:t>。</w:t>
      </w:r>
    </w:p>
    <w:p>
      <w:pPr>
        <w:widowControl/>
        <w:spacing w:line="360" w:lineRule="exact"/>
        <w:rPr>
          <w:rFonts w:ascii="宋体" w:hAnsi="宋体" w:cs="Arial"/>
          <w:color w:val="auto"/>
          <w:szCs w:val="21"/>
          <w:highlight w:val="none"/>
          <w:u w:val="single"/>
        </w:rPr>
      </w:pPr>
      <w:r>
        <w:rPr>
          <w:rFonts w:ascii="宋体" w:hAnsi="宋体" w:cs="Arial"/>
          <w:color w:val="auto"/>
          <w:szCs w:val="21"/>
          <w:highlight w:val="none"/>
        </w:rPr>
        <w:t>2.</w:t>
      </w:r>
      <w:r>
        <w:rPr>
          <w:rFonts w:hint="eastAsia" w:ascii="宋体" w:hAnsi="宋体" w:cs="Arial"/>
          <w:color w:val="auto"/>
          <w:szCs w:val="21"/>
          <w:highlight w:val="none"/>
        </w:rPr>
        <w:t>5</w:t>
      </w:r>
      <w:r>
        <w:rPr>
          <w:rFonts w:ascii="宋体" w:hAnsi="宋体" w:cs="Arial"/>
          <w:color w:val="auto"/>
          <w:szCs w:val="21"/>
          <w:highlight w:val="none"/>
        </w:rPr>
        <w:t xml:space="preserve"> 质量要求：</w:t>
      </w:r>
      <w:r>
        <w:rPr>
          <w:rFonts w:hint="eastAsia" w:ascii="宋体" w:hAnsi="宋体"/>
          <w:color w:val="auto"/>
          <w:highlight w:val="none"/>
        </w:rPr>
        <w:t>合格。配合总承包单位争创钱江杯、鲁班奖。</w:t>
      </w:r>
    </w:p>
    <w:p>
      <w:pPr>
        <w:widowControl/>
        <w:spacing w:line="360" w:lineRule="exact"/>
        <w:rPr>
          <w:rFonts w:ascii="宋体" w:hAnsi="宋体" w:cs="Arial"/>
          <w:color w:val="auto"/>
          <w:szCs w:val="21"/>
          <w:highlight w:val="none"/>
        </w:rPr>
      </w:pPr>
      <w:r>
        <w:rPr>
          <w:rFonts w:ascii="宋体" w:hAnsi="宋体" w:cs="Arial"/>
          <w:color w:val="auto"/>
          <w:szCs w:val="21"/>
          <w:highlight w:val="none"/>
        </w:rPr>
        <w:t>2.</w:t>
      </w:r>
      <w:r>
        <w:rPr>
          <w:rFonts w:hint="eastAsia" w:ascii="宋体" w:hAnsi="宋体" w:cs="Arial"/>
          <w:color w:val="auto"/>
          <w:szCs w:val="21"/>
          <w:highlight w:val="none"/>
        </w:rPr>
        <w:t>6</w:t>
      </w:r>
      <w:r>
        <w:rPr>
          <w:rFonts w:ascii="宋体" w:hAnsi="宋体" w:cs="Arial"/>
          <w:color w:val="auto"/>
          <w:szCs w:val="21"/>
          <w:highlight w:val="none"/>
        </w:rPr>
        <w:t>标段划分：</w:t>
      </w:r>
      <w:r>
        <w:rPr>
          <w:rFonts w:ascii="宋体" w:hAnsi="宋体" w:cs="Arial"/>
          <w:color w:val="auto"/>
          <w:szCs w:val="21"/>
          <w:highlight w:val="none"/>
          <w:u w:val="single"/>
        </w:rPr>
        <w:t xml:space="preserve">  </w:t>
      </w:r>
      <w:r>
        <w:rPr>
          <w:rFonts w:hint="eastAsia" w:ascii="宋体" w:hAnsi="宋体" w:cs="宋体"/>
          <w:i/>
          <w:color w:val="auto"/>
          <w:szCs w:val="21"/>
          <w:highlight w:val="none"/>
          <w:u w:val="single"/>
        </w:rPr>
        <w:t xml:space="preserve"> </w:t>
      </w:r>
      <w:r>
        <w:rPr>
          <w:rFonts w:hint="eastAsia" w:ascii="宋体" w:hAnsi="宋体" w:cs="宋体"/>
          <w:b/>
          <w:color w:val="auto"/>
          <w:szCs w:val="21"/>
          <w:highlight w:val="none"/>
          <w:u w:val="single"/>
        </w:rPr>
        <w:t xml:space="preserve">/ </w:t>
      </w:r>
      <w:r>
        <w:rPr>
          <w:rFonts w:hint="eastAsia" w:ascii="宋体" w:hAnsi="宋体" w:cs="宋体"/>
          <w:i/>
          <w:color w:val="auto"/>
          <w:szCs w:val="21"/>
          <w:highlight w:val="none"/>
          <w:u w:val="single"/>
        </w:rPr>
        <w:t xml:space="preserve"> </w:t>
      </w:r>
      <w:r>
        <w:rPr>
          <w:rFonts w:hint="eastAsia" w:ascii="宋体" w:hAnsi="宋体" w:cs="Arial"/>
          <w:color w:val="auto"/>
          <w:szCs w:val="21"/>
          <w:highlight w:val="none"/>
          <w:u w:val="single"/>
        </w:rPr>
        <w:t xml:space="preserve"> </w:t>
      </w:r>
      <w:r>
        <w:rPr>
          <w:rFonts w:ascii="宋体" w:hAnsi="宋体" w:cs="Arial"/>
          <w:color w:val="auto"/>
          <w:szCs w:val="21"/>
          <w:highlight w:val="none"/>
          <w:u w:val="single"/>
        </w:rPr>
        <w:t xml:space="preserve"> </w:t>
      </w:r>
      <w:r>
        <w:rPr>
          <w:rFonts w:ascii="宋体" w:hAnsi="宋体" w:cs="Arial"/>
          <w:color w:val="auto"/>
          <w:szCs w:val="21"/>
          <w:highlight w:val="none"/>
        </w:rPr>
        <w:t>。</w:t>
      </w:r>
    </w:p>
    <w:p>
      <w:pPr>
        <w:widowControl/>
        <w:spacing w:line="360" w:lineRule="exact"/>
        <w:rPr>
          <w:rFonts w:ascii="宋体" w:hAnsi="宋体" w:cs="Arial"/>
          <w:color w:val="auto"/>
          <w:szCs w:val="21"/>
          <w:highlight w:val="none"/>
        </w:rPr>
      </w:pPr>
      <w:r>
        <w:rPr>
          <w:rFonts w:ascii="宋体" w:hAnsi="宋体" w:cs="Arial"/>
          <w:color w:val="auto"/>
          <w:szCs w:val="21"/>
          <w:highlight w:val="none"/>
        </w:rPr>
        <w:t>2.</w:t>
      </w:r>
      <w:r>
        <w:rPr>
          <w:rFonts w:hint="eastAsia" w:ascii="宋体" w:hAnsi="宋体" w:cs="Arial"/>
          <w:color w:val="auto"/>
          <w:szCs w:val="21"/>
          <w:highlight w:val="none"/>
        </w:rPr>
        <w:t>7</w:t>
      </w:r>
      <w:r>
        <w:rPr>
          <w:rFonts w:ascii="宋体" w:hAnsi="宋体" w:cs="Arial"/>
          <w:color w:val="auto"/>
          <w:szCs w:val="21"/>
          <w:highlight w:val="none"/>
        </w:rPr>
        <w:t>资格审查方式：</w:t>
      </w:r>
      <w:r>
        <w:rPr>
          <w:rFonts w:hint="eastAsia" w:ascii="宋体" w:hAnsi="宋体" w:cs="宋体"/>
          <w:b/>
          <w:iCs/>
          <w:color w:val="auto"/>
          <w:szCs w:val="21"/>
          <w:highlight w:val="none"/>
          <w:u w:val="single"/>
        </w:rPr>
        <w:t>资格后审</w:t>
      </w:r>
      <w:r>
        <w:rPr>
          <w:rFonts w:ascii="宋体" w:hAnsi="宋体" w:cs="Arial"/>
          <w:color w:val="auto"/>
          <w:szCs w:val="21"/>
          <w:highlight w:val="none"/>
        </w:rPr>
        <w:t xml:space="preserve">。  </w:t>
      </w:r>
    </w:p>
    <w:p>
      <w:pPr>
        <w:widowControl/>
        <w:spacing w:line="360" w:lineRule="exact"/>
        <w:rPr>
          <w:rFonts w:ascii="宋体" w:hAnsi="宋体" w:cs="Arial"/>
          <w:color w:val="auto"/>
          <w:szCs w:val="21"/>
          <w:highlight w:val="none"/>
        </w:rPr>
      </w:pPr>
      <w:r>
        <w:rPr>
          <w:rFonts w:hint="eastAsia" w:ascii="宋体" w:hAnsi="宋体" w:cs="Arial"/>
          <w:color w:val="auto"/>
          <w:szCs w:val="21"/>
          <w:highlight w:val="none"/>
        </w:rPr>
        <w:t xml:space="preserve">3.投标人资格要求 </w:t>
      </w:r>
    </w:p>
    <w:p>
      <w:pPr>
        <w:widowControl/>
        <w:spacing w:line="360" w:lineRule="exact"/>
        <w:rPr>
          <w:rFonts w:ascii="宋体" w:hAnsi="宋体"/>
          <w:color w:val="auto"/>
          <w:szCs w:val="21"/>
          <w:highlight w:val="none"/>
        </w:rPr>
      </w:pPr>
      <w:r>
        <w:rPr>
          <w:rFonts w:ascii="宋体" w:hAnsi="宋体" w:cs="Arial"/>
          <w:color w:val="auto"/>
          <w:szCs w:val="21"/>
          <w:highlight w:val="none"/>
        </w:rPr>
        <w:t>3.1 本次招标要求投标人具</w:t>
      </w:r>
      <w:r>
        <w:rPr>
          <w:rFonts w:hint="eastAsia" w:ascii="宋体" w:hAnsi="宋体" w:cs="Arial"/>
          <w:color w:val="auto"/>
          <w:szCs w:val="21"/>
          <w:highlight w:val="none"/>
        </w:rPr>
        <w:t>有①</w:t>
      </w:r>
      <w:r>
        <w:rPr>
          <w:rFonts w:hint="eastAsia" w:ascii="宋体" w:hAnsi="宋体"/>
          <w:color w:val="auto"/>
          <w:szCs w:val="21"/>
          <w:highlight w:val="none"/>
          <w:u w:val="single"/>
        </w:rPr>
        <w:t>建筑机电安装工程专业承包一级资质</w:t>
      </w:r>
      <w:r>
        <w:rPr>
          <w:rFonts w:hint="eastAsia" w:ascii="宋体" w:hAnsi="宋体"/>
          <w:color w:val="auto"/>
          <w:szCs w:val="21"/>
          <w:highlight w:val="none"/>
        </w:rPr>
        <w:t>、</w:t>
      </w:r>
      <w:r>
        <w:rPr>
          <w:rFonts w:hint="eastAsia" w:ascii="宋体" w:hAnsi="宋体"/>
          <w:color w:val="auto"/>
          <w:szCs w:val="21"/>
          <w:highlight w:val="none"/>
          <w:u w:val="single"/>
        </w:rPr>
        <w:t>建筑装修装饰工程专业承包二级及以上资质、</w:t>
      </w:r>
      <w:r>
        <w:rPr>
          <w:rFonts w:hint="eastAsia" w:ascii="宋体" w:hAnsi="宋体"/>
          <w:color w:val="auto"/>
          <w:szCs w:val="21"/>
          <w:highlight w:val="none"/>
        </w:rPr>
        <w:t>安全生产许可证；</w:t>
      </w:r>
      <w:r>
        <w:rPr>
          <w:rFonts w:ascii="宋体" w:hAnsi="宋体"/>
          <w:color w:val="auto"/>
          <w:szCs w:val="21"/>
          <w:highlight w:val="none"/>
        </w:rPr>
        <w:fldChar w:fldCharType="begin"/>
      </w:r>
      <w:r>
        <w:rPr>
          <w:rFonts w:ascii="宋体" w:hAnsi="宋体"/>
          <w:color w:val="auto"/>
          <w:szCs w:val="21"/>
          <w:highlight w:val="none"/>
        </w:rPr>
        <w:instrText xml:space="preserve"> </w:instrText>
      </w:r>
      <w:r>
        <w:rPr>
          <w:rFonts w:hint="eastAsia" w:ascii="宋体" w:hAnsi="宋体"/>
          <w:color w:val="auto"/>
          <w:szCs w:val="21"/>
          <w:highlight w:val="none"/>
        </w:rPr>
        <w:instrText xml:space="preserve">= 2 \* GB3</w:instrText>
      </w:r>
      <w:r>
        <w:rPr>
          <w:rFonts w:ascii="宋体" w:hAnsi="宋体"/>
          <w:color w:val="auto"/>
          <w:szCs w:val="21"/>
          <w:highlight w:val="none"/>
        </w:rPr>
        <w:instrText xml:space="preserve"> </w:instrText>
      </w:r>
      <w:r>
        <w:rPr>
          <w:rFonts w:ascii="宋体" w:hAnsi="宋体"/>
          <w:color w:val="auto"/>
          <w:szCs w:val="21"/>
          <w:highlight w:val="none"/>
        </w:rPr>
        <w:fldChar w:fldCharType="separate"/>
      </w:r>
      <w:r>
        <w:rPr>
          <w:rFonts w:hint="eastAsia" w:ascii="宋体" w:hAnsi="宋体"/>
          <w:color w:val="auto"/>
          <w:szCs w:val="21"/>
          <w:highlight w:val="none"/>
        </w:rPr>
        <w:t>②</w:t>
      </w:r>
      <w:r>
        <w:rPr>
          <w:rFonts w:ascii="宋体" w:hAnsi="宋体"/>
          <w:color w:val="auto"/>
          <w:szCs w:val="21"/>
          <w:highlight w:val="none"/>
        </w:rPr>
        <w:fldChar w:fldCharType="end"/>
      </w:r>
      <w:r>
        <w:rPr>
          <w:rFonts w:hint="eastAsia" w:ascii="宋体" w:hAnsi="宋体"/>
          <w:color w:val="auto"/>
          <w:szCs w:val="21"/>
          <w:highlight w:val="none"/>
        </w:rPr>
        <w:t>医疗器械经营许可证或医疗器械生产许可证</w:t>
      </w:r>
      <w:r>
        <w:rPr>
          <w:rFonts w:hint="eastAsia" w:ascii="宋体" w:hAnsi="宋体" w:cs="宋体"/>
          <w:color w:val="auto"/>
          <w:szCs w:val="21"/>
          <w:highlight w:val="none"/>
        </w:rPr>
        <w:t>。③（若联合体投标的，联合体牵头人）具有自201</w:t>
      </w:r>
      <w:r>
        <w:rPr>
          <w:rFonts w:hint="eastAsia" w:ascii="宋体" w:hAnsi="宋体"/>
          <w:color w:val="auto"/>
          <w:szCs w:val="21"/>
          <w:highlight w:val="none"/>
        </w:rPr>
        <w:t>7</w:t>
      </w:r>
      <w:r>
        <w:rPr>
          <w:rFonts w:ascii="宋体" w:hAnsi="宋体"/>
          <w:color w:val="auto"/>
          <w:szCs w:val="21"/>
          <w:highlight w:val="none"/>
        </w:rPr>
        <w:t>年1月1日起至投标截止日</w:t>
      </w:r>
      <w:r>
        <w:rPr>
          <w:rFonts w:hint="eastAsia" w:ascii="宋体" w:hAnsi="宋体" w:cs="宋体"/>
          <w:color w:val="auto"/>
          <w:szCs w:val="21"/>
          <w:highlight w:val="none"/>
        </w:rPr>
        <w:t>（以验收证明时间为准）</w:t>
      </w:r>
      <w:r>
        <w:rPr>
          <w:rFonts w:hint="eastAsia" w:ascii="宋体" w:hAnsi="宋体"/>
          <w:color w:val="auto"/>
          <w:szCs w:val="21"/>
          <w:highlight w:val="none"/>
        </w:rPr>
        <w:t>完成过类似净化项目单项合同金额</w:t>
      </w:r>
      <w:r>
        <w:rPr>
          <w:rFonts w:hint="default" w:ascii="宋体" w:hAnsi="宋体"/>
          <w:color w:val="auto"/>
          <w:szCs w:val="21"/>
          <w:highlight w:val="none"/>
          <w:lang w:val="en-US"/>
        </w:rPr>
        <w:t>15</w:t>
      </w:r>
      <w:r>
        <w:rPr>
          <w:rFonts w:ascii="宋体" w:hAnsi="宋体"/>
          <w:color w:val="auto"/>
          <w:szCs w:val="21"/>
          <w:highlight w:val="none"/>
        </w:rPr>
        <w:t>00</w:t>
      </w:r>
      <w:r>
        <w:rPr>
          <w:rFonts w:hint="eastAsia" w:ascii="宋体" w:hAnsi="宋体"/>
          <w:color w:val="auto"/>
          <w:szCs w:val="21"/>
          <w:highlight w:val="none"/>
        </w:rPr>
        <w:t>万元及以上的业绩。业绩证明材料包括中标通知书（或合同）、验收证明的复印件。</w:t>
      </w:r>
    </w:p>
    <w:p>
      <w:pPr>
        <w:widowControl/>
        <w:spacing w:line="360" w:lineRule="exact"/>
        <w:ind w:firstLine="422" w:firstLineChars="200"/>
        <w:rPr>
          <w:rFonts w:ascii="宋体" w:hAnsi="宋体" w:cs="Arial"/>
          <w:color w:val="auto"/>
          <w:szCs w:val="21"/>
          <w:highlight w:val="none"/>
        </w:rPr>
      </w:pPr>
      <w:r>
        <w:rPr>
          <w:rFonts w:hint="eastAsia" w:ascii="宋体" w:hAnsi="宋体"/>
          <w:b/>
          <w:bCs/>
          <w:color w:val="auto"/>
          <w:szCs w:val="21"/>
          <w:highlight w:val="none"/>
          <w:u w:val="single"/>
        </w:rPr>
        <w:t>项目负责人具有</w:t>
      </w:r>
      <w:r>
        <w:rPr>
          <w:rFonts w:hint="eastAsia" w:ascii="宋体" w:hAnsi="宋体" w:cs="宋体"/>
          <w:b/>
          <w:bCs/>
          <w:color w:val="auto"/>
          <w:szCs w:val="21"/>
          <w:highlight w:val="none"/>
          <w:u w:val="single"/>
        </w:rPr>
        <w:t>机电工程专业注册建造师一级注册证书</w:t>
      </w:r>
      <w:r>
        <w:rPr>
          <w:rFonts w:hint="eastAsia" w:ascii="宋体" w:hAnsi="宋体"/>
          <w:b/>
          <w:bCs/>
          <w:color w:val="auto"/>
          <w:szCs w:val="21"/>
          <w:highlight w:val="none"/>
          <w:u w:val="single"/>
        </w:rPr>
        <w:t>，具有安全生产考核合格证(B证)，且无在建工程，拟派项目负责人须为投标人在职职工（在职职工不包括离、退休返聘人员），以提供缴费期限包含202</w:t>
      </w:r>
      <w:r>
        <w:rPr>
          <w:rFonts w:hint="eastAsia" w:ascii="宋体" w:hAnsi="宋体"/>
          <w:b/>
          <w:bCs/>
          <w:color w:val="auto"/>
          <w:szCs w:val="21"/>
          <w:highlight w:val="none"/>
          <w:u w:val="single"/>
          <w:lang w:val="en-US" w:eastAsia="zh-CN"/>
        </w:rPr>
        <w:t>2</w:t>
      </w:r>
      <w:r>
        <w:rPr>
          <w:rFonts w:hint="eastAsia" w:ascii="宋体" w:hAnsi="宋体"/>
          <w:b/>
          <w:bCs/>
          <w:color w:val="auto"/>
          <w:szCs w:val="21"/>
          <w:highlight w:val="none"/>
          <w:u w:val="single"/>
        </w:rPr>
        <w:t>年</w:t>
      </w:r>
      <w:r>
        <w:rPr>
          <w:rFonts w:hint="eastAsia" w:ascii="宋体" w:hAnsi="宋体"/>
          <w:b/>
          <w:bCs/>
          <w:color w:val="auto"/>
          <w:szCs w:val="21"/>
          <w:highlight w:val="none"/>
          <w:u w:val="single"/>
          <w:lang w:val="en-US" w:eastAsia="zh-CN"/>
        </w:rPr>
        <w:t>3</w:t>
      </w:r>
      <w:r>
        <w:rPr>
          <w:rFonts w:hint="eastAsia" w:ascii="宋体" w:hAnsi="宋体"/>
          <w:b/>
          <w:bCs/>
          <w:color w:val="auto"/>
          <w:szCs w:val="21"/>
          <w:highlight w:val="none"/>
          <w:u w:val="single"/>
        </w:rPr>
        <w:t>月至2022年</w:t>
      </w:r>
      <w:r>
        <w:rPr>
          <w:rFonts w:hint="eastAsia" w:ascii="宋体" w:hAnsi="宋体"/>
          <w:b/>
          <w:bCs/>
          <w:color w:val="auto"/>
          <w:szCs w:val="21"/>
          <w:highlight w:val="none"/>
          <w:u w:val="single"/>
          <w:lang w:val="en-US" w:eastAsia="zh-CN"/>
        </w:rPr>
        <w:t>5</w:t>
      </w:r>
      <w:r>
        <w:rPr>
          <w:rFonts w:hint="eastAsia" w:ascii="宋体" w:hAnsi="宋体"/>
          <w:b/>
          <w:bCs/>
          <w:color w:val="auto"/>
          <w:szCs w:val="21"/>
          <w:highlight w:val="none"/>
          <w:u w:val="single"/>
        </w:rPr>
        <w:t>月的投标人所属社保机构养老保险交纳清单或证明为准【缴费单位和投标单位名称必须一致，并加盖社保缴费证明专用章（或电子专用章），非独立法人的分公司社保证明有效】。</w:t>
      </w:r>
    </w:p>
    <w:p>
      <w:pPr>
        <w:widowControl/>
        <w:spacing w:line="360" w:lineRule="exact"/>
        <w:rPr>
          <w:rFonts w:ascii="宋体" w:hAnsi="宋体" w:cs="Arial"/>
          <w:color w:val="auto"/>
          <w:szCs w:val="21"/>
          <w:highlight w:val="none"/>
        </w:rPr>
      </w:pPr>
      <w:r>
        <w:rPr>
          <w:rFonts w:ascii="宋体" w:hAnsi="宋体" w:cs="Arial"/>
          <w:color w:val="auto"/>
          <w:szCs w:val="21"/>
          <w:highlight w:val="none"/>
        </w:rPr>
        <w:t>3.2主要设备、材料要求：</w:t>
      </w:r>
      <w:r>
        <w:rPr>
          <w:rFonts w:ascii="宋体" w:hAnsi="宋体" w:cs="Arial"/>
          <w:color w:val="auto"/>
          <w:szCs w:val="21"/>
          <w:highlight w:val="none"/>
          <w:u w:val="single"/>
        </w:rPr>
        <w:t xml:space="preserve"> </w:t>
      </w:r>
      <w:r>
        <w:rPr>
          <w:rFonts w:hint="eastAsia" w:ascii="宋体" w:hAnsi="宋体" w:cs="Arial"/>
          <w:color w:val="auto"/>
          <w:szCs w:val="21"/>
          <w:highlight w:val="none"/>
          <w:u w:val="single"/>
        </w:rPr>
        <w:t xml:space="preserve">  </w:t>
      </w:r>
      <w:r>
        <w:rPr>
          <w:rFonts w:hint="eastAsia" w:ascii="宋体" w:hAnsi="宋体" w:cs="宋体"/>
          <w:b/>
          <w:color w:val="auto"/>
          <w:szCs w:val="21"/>
          <w:highlight w:val="none"/>
          <w:u w:val="single"/>
        </w:rPr>
        <w:t>/</w:t>
      </w:r>
      <w:r>
        <w:rPr>
          <w:rFonts w:hint="eastAsia" w:ascii="宋体" w:hAnsi="宋体" w:cs="宋体"/>
          <w:i/>
          <w:color w:val="auto"/>
          <w:szCs w:val="21"/>
          <w:highlight w:val="none"/>
          <w:u w:val="single"/>
        </w:rPr>
        <w:t xml:space="preserve"> </w:t>
      </w:r>
      <w:r>
        <w:rPr>
          <w:rFonts w:hint="eastAsia" w:ascii="宋体" w:hAnsi="宋体" w:cs="Arial"/>
          <w:color w:val="auto"/>
          <w:szCs w:val="21"/>
          <w:highlight w:val="none"/>
          <w:u w:val="single"/>
        </w:rPr>
        <w:t xml:space="preserve">   </w:t>
      </w:r>
      <w:r>
        <w:rPr>
          <w:rFonts w:ascii="宋体" w:hAnsi="宋体" w:cs="Arial"/>
          <w:color w:val="auto"/>
          <w:szCs w:val="21"/>
          <w:highlight w:val="none"/>
        </w:rPr>
        <w:t>。</w:t>
      </w:r>
    </w:p>
    <w:p>
      <w:pPr>
        <w:widowControl/>
        <w:spacing w:line="360" w:lineRule="exact"/>
        <w:rPr>
          <w:rFonts w:ascii="宋体" w:hAnsi="宋体" w:cs="Arial"/>
          <w:color w:val="auto"/>
          <w:szCs w:val="21"/>
          <w:highlight w:val="none"/>
        </w:rPr>
      </w:pPr>
      <w:r>
        <w:rPr>
          <w:rFonts w:ascii="宋体" w:hAnsi="宋体" w:cs="Arial"/>
          <w:color w:val="auto"/>
          <w:szCs w:val="21"/>
          <w:highlight w:val="none"/>
        </w:rPr>
        <w:t>3.3其他要求：</w:t>
      </w:r>
    </w:p>
    <w:p>
      <w:pPr>
        <w:widowControl/>
        <w:spacing w:line="360" w:lineRule="exact"/>
        <w:rPr>
          <w:rFonts w:ascii="宋体" w:hAnsi="宋体" w:cs="Arial"/>
          <w:color w:val="auto"/>
          <w:szCs w:val="21"/>
          <w:highlight w:val="none"/>
        </w:rPr>
      </w:pPr>
      <w:r>
        <w:rPr>
          <w:rFonts w:ascii="宋体" w:hAnsi="宋体" w:cs="Arial"/>
          <w:color w:val="auto"/>
          <w:szCs w:val="21"/>
          <w:highlight w:val="none"/>
        </w:rPr>
        <w:t>3.3.1</w:t>
      </w:r>
      <w:r>
        <w:rPr>
          <w:rFonts w:hint="eastAsia" w:ascii="宋体" w:hAnsi="宋体" w:cs="Arial"/>
          <w:color w:val="auto"/>
          <w:szCs w:val="21"/>
          <w:highlight w:val="none"/>
        </w:rPr>
        <w:t>企业</w:t>
      </w:r>
      <w:r>
        <w:rPr>
          <w:rFonts w:hint="eastAsia" w:cs="Arial"/>
          <w:color w:val="auto"/>
          <w:highlight w:val="none"/>
        </w:rPr>
        <w:t>（联合体投标的，则指联合体各方</w:t>
      </w:r>
      <w:r>
        <w:rPr>
          <w:rFonts w:hint="eastAsia" w:ascii="宋体" w:hAnsi="宋体" w:cs="宋体"/>
          <w:color w:val="auto"/>
          <w:szCs w:val="21"/>
          <w:highlight w:val="none"/>
        </w:rPr>
        <w:t>）</w:t>
      </w:r>
      <w:r>
        <w:rPr>
          <w:rFonts w:ascii="宋体" w:hAnsi="宋体" w:cs="Arial"/>
          <w:color w:val="auto"/>
          <w:szCs w:val="21"/>
          <w:highlight w:val="none"/>
        </w:rPr>
        <w:t>具有</w:t>
      </w:r>
      <w:r>
        <w:rPr>
          <w:rFonts w:hint="eastAsia" w:ascii="宋体" w:hAnsi="宋体" w:cs="Arial"/>
          <w:color w:val="auto"/>
          <w:szCs w:val="21"/>
          <w:highlight w:val="none"/>
        </w:rPr>
        <w:t>绍兴市公共资源交易中心工程建设项目</w:t>
      </w:r>
      <w:r>
        <w:rPr>
          <w:rFonts w:hint="eastAsia" w:ascii="宋体" w:hAnsi="宋体" w:cs="宋体"/>
          <w:bCs/>
          <w:color w:val="auto"/>
          <w:szCs w:val="21"/>
          <w:highlight w:val="none"/>
        </w:rPr>
        <w:t>年度登记</w:t>
      </w:r>
      <w:r>
        <w:rPr>
          <w:rFonts w:ascii="宋体" w:hAnsi="宋体" w:cs="Arial"/>
          <w:color w:val="auto"/>
          <w:szCs w:val="21"/>
          <w:highlight w:val="none"/>
        </w:rPr>
        <w:t>资格</w:t>
      </w:r>
      <w:r>
        <w:rPr>
          <w:rFonts w:hint="eastAsia" w:ascii="宋体" w:hAnsi="宋体" w:cs="Arial"/>
          <w:color w:val="auto"/>
          <w:szCs w:val="21"/>
          <w:highlight w:val="none"/>
        </w:rPr>
        <w:t>并在有效期内。</w:t>
      </w:r>
    </w:p>
    <w:p>
      <w:pPr>
        <w:widowControl/>
        <w:spacing w:line="360" w:lineRule="exact"/>
        <w:rPr>
          <w:rFonts w:ascii="宋体" w:hAnsi="宋体" w:cs="Arial"/>
          <w:color w:val="auto"/>
          <w:szCs w:val="21"/>
          <w:highlight w:val="none"/>
        </w:rPr>
      </w:pPr>
      <w:r>
        <w:rPr>
          <w:rFonts w:hint="eastAsia" w:ascii="宋体" w:hAnsi="宋体" w:cs="Arial"/>
          <w:color w:val="auto"/>
          <w:szCs w:val="21"/>
          <w:highlight w:val="none"/>
        </w:rPr>
        <w:t>3.3.2</w:t>
      </w:r>
      <w:r>
        <w:rPr>
          <w:rFonts w:hint="eastAsia" w:ascii="宋体" w:hAnsi="宋体" w:cs="宋体"/>
          <w:color w:val="auto"/>
          <w:szCs w:val="21"/>
          <w:highlight w:val="none"/>
        </w:rPr>
        <w:t>企业</w:t>
      </w:r>
      <w:r>
        <w:rPr>
          <w:rFonts w:hint="eastAsia" w:cs="Arial"/>
          <w:color w:val="auto"/>
          <w:highlight w:val="none"/>
        </w:rPr>
        <w:t>（联合体投标的，则指联合体各方）</w:t>
      </w:r>
      <w:r>
        <w:rPr>
          <w:rFonts w:hint="eastAsia" w:ascii="宋体" w:hAnsi="宋体" w:cs="宋体"/>
          <w:color w:val="auto"/>
          <w:szCs w:val="21"/>
          <w:highlight w:val="none"/>
        </w:rPr>
        <w:t>需要</w:t>
      </w:r>
      <w:r>
        <w:rPr>
          <w:rFonts w:hint="eastAsia" w:ascii="宋体" w:hAnsi="宋体" w:cs="宋体"/>
          <w:color w:val="auto"/>
          <w:szCs w:val="21"/>
          <w:highlight w:val="none"/>
          <w:u w:val="single"/>
        </w:rPr>
        <w:t xml:space="preserve"> 经浙江省住建厅备案（有效期内）或提供“浙江省建筑市场监管公共服务系统”上审核通过的备案信息网页截图（浙江省内企业不作要求）</w:t>
      </w:r>
      <w:r>
        <w:rPr>
          <w:rFonts w:hint="eastAsia" w:ascii="宋体" w:hAnsi="宋体" w:cs="Arial"/>
          <w:color w:val="auto"/>
          <w:szCs w:val="21"/>
          <w:highlight w:val="none"/>
        </w:rPr>
        <w:t>。</w:t>
      </w:r>
    </w:p>
    <w:p>
      <w:pPr>
        <w:widowControl/>
        <w:spacing w:line="360" w:lineRule="exact"/>
        <w:rPr>
          <w:rFonts w:ascii="宋体" w:hAnsi="宋体" w:cs="Arial"/>
          <w:strike/>
          <w:color w:val="auto"/>
          <w:szCs w:val="21"/>
          <w:highlight w:val="none"/>
        </w:rPr>
      </w:pPr>
      <w:r>
        <w:rPr>
          <w:rFonts w:ascii="宋体" w:hAnsi="宋体" w:cs="Arial"/>
          <w:strike/>
          <w:color w:val="auto"/>
          <w:szCs w:val="21"/>
          <w:highlight w:val="none"/>
        </w:rPr>
        <w:t>3.3.</w:t>
      </w:r>
      <w:r>
        <w:rPr>
          <w:rFonts w:hint="eastAsia" w:ascii="宋体" w:hAnsi="宋体" w:cs="Arial"/>
          <w:strike/>
          <w:color w:val="auto"/>
          <w:szCs w:val="21"/>
          <w:highlight w:val="none"/>
        </w:rPr>
        <w:t>3</w:t>
      </w:r>
      <w:r>
        <w:rPr>
          <w:rFonts w:ascii="宋体" w:hAnsi="宋体" w:cs="Arial"/>
          <w:strike/>
          <w:color w:val="auto"/>
          <w:szCs w:val="21"/>
          <w:highlight w:val="none"/>
        </w:rPr>
        <w:t>企业在</w:t>
      </w:r>
      <w:r>
        <w:rPr>
          <w:rFonts w:ascii="宋体" w:hAnsi="宋体" w:cs="Arial"/>
          <w:strike/>
          <w:color w:val="auto"/>
          <w:szCs w:val="21"/>
          <w:highlight w:val="none"/>
          <w:u w:val="single"/>
        </w:rPr>
        <w:t xml:space="preserve"> </w:t>
      </w:r>
      <w:r>
        <w:rPr>
          <w:rFonts w:hint="eastAsia" w:ascii="宋体" w:hAnsi="宋体" w:cs="Arial"/>
          <w:strike/>
          <w:color w:val="auto"/>
          <w:szCs w:val="21"/>
          <w:highlight w:val="none"/>
          <w:u w:val="single"/>
        </w:rPr>
        <w:t xml:space="preserve"> </w:t>
      </w:r>
      <w:r>
        <w:rPr>
          <w:rFonts w:hint="eastAsia" w:ascii="宋体" w:hAnsi="宋体" w:cs="宋体"/>
          <w:b/>
          <w:strike/>
          <w:color w:val="auto"/>
          <w:szCs w:val="21"/>
          <w:highlight w:val="none"/>
          <w:u w:val="single"/>
        </w:rPr>
        <w:t>/</w:t>
      </w:r>
      <w:r>
        <w:rPr>
          <w:rFonts w:ascii="宋体" w:hAnsi="宋体" w:cs="Arial"/>
          <w:strike/>
          <w:color w:val="auto"/>
          <w:szCs w:val="21"/>
          <w:highlight w:val="none"/>
          <w:u w:val="single"/>
        </w:rPr>
        <w:t xml:space="preserve">  </w:t>
      </w:r>
      <w:r>
        <w:rPr>
          <w:rFonts w:ascii="宋体" w:hAnsi="宋体" w:cs="Arial"/>
          <w:strike/>
          <w:color w:val="auto"/>
          <w:szCs w:val="21"/>
          <w:highlight w:val="none"/>
        </w:rPr>
        <w:t>年</w:t>
      </w:r>
      <w:r>
        <w:rPr>
          <w:rFonts w:ascii="宋体" w:hAnsi="宋体" w:cs="Arial"/>
          <w:strike/>
          <w:color w:val="auto"/>
          <w:szCs w:val="21"/>
          <w:highlight w:val="none"/>
          <w:u w:val="single"/>
        </w:rPr>
        <w:t xml:space="preserve">  </w:t>
      </w:r>
      <w:r>
        <w:rPr>
          <w:rFonts w:hint="eastAsia" w:ascii="宋体" w:hAnsi="宋体" w:cs="Arial"/>
          <w:strike/>
          <w:color w:val="auto"/>
          <w:szCs w:val="21"/>
          <w:highlight w:val="none"/>
          <w:u w:val="single"/>
        </w:rPr>
        <w:t xml:space="preserve"> </w:t>
      </w:r>
      <w:r>
        <w:rPr>
          <w:rFonts w:hint="eastAsia" w:ascii="宋体" w:hAnsi="宋体" w:cs="宋体"/>
          <w:b/>
          <w:strike/>
          <w:color w:val="auto"/>
          <w:szCs w:val="21"/>
          <w:highlight w:val="none"/>
          <w:u w:val="single"/>
        </w:rPr>
        <w:t>/</w:t>
      </w:r>
      <w:r>
        <w:rPr>
          <w:rFonts w:hint="eastAsia" w:ascii="宋体" w:hAnsi="宋体" w:cs="Arial"/>
          <w:strike/>
          <w:color w:val="auto"/>
          <w:szCs w:val="21"/>
          <w:highlight w:val="none"/>
          <w:u w:val="single"/>
        </w:rPr>
        <w:t xml:space="preserve"> </w:t>
      </w:r>
      <w:r>
        <w:rPr>
          <w:rFonts w:ascii="宋体" w:hAnsi="宋体" w:cs="Arial"/>
          <w:strike/>
          <w:color w:val="auto"/>
          <w:szCs w:val="21"/>
          <w:highlight w:val="none"/>
        </w:rPr>
        <w:t>月</w:t>
      </w:r>
      <w:r>
        <w:rPr>
          <w:rFonts w:ascii="宋体" w:hAnsi="宋体" w:cs="Arial"/>
          <w:strike/>
          <w:color w:val="auto"/>
          <w:szCs w:val="21"/>
          <w:highlight w:val="none"/>
          <w:u w:val="single"/>
        </w:rPr>
        <w:t xml:space="preserve"> </w:t>
      </w:r>
      <w:r>
        <w:rPr>
          <w:rFonts w:hint="eastAsia" w:ascii="宋体" w:hAnsi="宋体" w:cs="Arial"/>
          <w:strike/>
          <w:color w:val="auto"/>
          <w:szCs w:val="21"/>
          <w:highlight w:val="none"/>
          <w:u w:val="single"/>
        </w:rPr>
        <w:t xml:space="preserve">  </w:t>
      </w:r>
      <w:r>
        <w:rPr>
          <w:rFonts w:hint="eastAsia" w:ascii="宋体" w:hAnsi="宋体" w:cs="宋体"/>
          <w:b/>
          <w:strike/>
          <w:color w:val="auto"/>
          <w:szCs w:val="21"/>
          <w:highlight w:val="none"/>
          <w:u w:val="single"/>
        </w:rPr>
        <w:t>/</w:t>
      </w:r>
      <w:r>
        <w:rPr>
          <w:rFonts w:ascii="宋体" w:hAnsi="宋体" w:cs="Arial"/>
          <w:strike/>
          <w:color w:val="auto"/>
          <w:szCs w:val="21"/>
          <w:highlight w:val="none"/>
          <w:u w:val="single"/>
        </w:rPr>
        <w:t xml:space="preserve"> </w:t>
      </w:r>
      <w:r>
        <w:rPr>
          <w:rFonts w:ascii="宋体" w:hAnsi="宋体" w:cs="Arial"/>
          <w:strike/>
          <w:color w:val="auto"/>
          <w:szCs w:val="21"/>
          <w:highlight w:val="none"/>
        </w:rPr>
        <w:t>日前与</w:t>
      </w:r>
      <w:r>
        <w:rPr>
          <w:rFonts w:ascii="宋体" w:hAnsi="宋体" w:cs="Arial"/>
          <w:strike/>
          <w:color w:val="auto"/>
          <w:szCs w:val="21"/>
          <w:highlight w:val="none"/>
          <w:u w:val="single"/>
        </w:rPr>
        <w:t xml:space="preserve">  </w:t>
      </w:r>
      <w:r>
        <w:rPr>
          <w:rFonts w:hint="eastAsia" w:ascii="宋体" w:hAnsi="宋体" w:cs="宋体"/>
          <w:b/>
          <w:strike/>
          <w:color w:val="auto"/>
          <w:szCs w:val="21"/>
          <w:highlight w:val="none"/>
          <w:u w:val="single"/>
        </w:rPr>
        <w:t>/</w:t>
      </w:r>
      <w:r>
        <w:rPr>
          <w:rFonts w:ascii="宋体" w:hAnsi="宋体" w:cs="Arial"/>
          <w:strike/>
          <w:color w:val="auto"/>
          <w:szCs w:val="21"/>
          <w:highlight w:val="none"/>
          <w:u w:val="single"/>
        </w:rPr>
        <w:t xml:space="preserve"> </w:t>
      </w:r>
      <w:r>
        <w:rPr>
          <w:rFonts w:hint="eastAsia" w:ascii="宋体" w:hAnsi="宋体" w:cs="Arial"/>
          <w:strike/>
          <w:color w:val="auto"/>
          <w:szCs w:val="21"/>
          <w:highlight w:val="none"/>
          <w:u w:val="single"/>
        </w:rPr>
        <w:t xml:space="preserve"> </w:t>
      </w:r>
      <w:r>
        <w:rPr>
          <w:rFonts w:ascii="宋体" w:hAnsi="宋体" w:cs="Arial"/>
          <w:strike/>
          <w:color w:val="auto"/>
          <w:szCs w:val="21"/>
          <w:highlight w:val="none"/>
        </w:rPr>
        <w:t>签订劳动者工资保障金管理协议。</w:t>
      </w:r>
    </w:p>
    <w:p>
      <w:pPr>
        <w:widowControl/>
        <w:spacing w:line="360" w:lineRule="exact"/>
        <w:rPr>
          <w:rFonts w:ascii="宋体" w:hAnsi="宋体" w:cs="Arial"/>
          <w:color w:val="auto"/>
          <w:szCs w:val="21"/>
          <w:highlight w:val="none"/>
        </w:rPr>
      </w:pPr>
      <w:r>
        <w:rPr>
          <w:rFonts w:ascii="宋体" w:hAnsi="宋体" w:cs="Arial"/>
          <w:color w:val="auto"/>
          <w:szCs w:val="21"/>
          <w:highlight w:val="none"/>
        </w:rPr>
        <w:t>3.3.</w:t>
      </w:r>
      <w:r>
        <w:rPr>
          <w:rFonts w:hint="eastAsia" w:ascii="宋体" w:hAnsi="宋体" w:cs="Arial"/>
          <w:color w:val="auto"/>
          <w:szCs w:val="21"/>
          <w:highlight w:val="none"/>
        </w:rPr>
        <w:t>4</w:t>
      </w:r>
      <w:r>
        <w:rPr>
          <w:rFonts w:ascii="宋体" w:hAnsi="宋体" w:cs="Arial"/>
          <w:color w:val="auto"/>
          <w:szCs w:val="21"/>
          <w:highlight w:val="none"/>
        </w:rPr>
        <w:t>企业</w:t>
      </w:r>
      <w:r>
        <w:rPr>
          <w:rFonts w:hint="eastAsia" w:cs="Arial"/>
          <w:color w:val="auto"/>
          <w:highlight w:val="none"/>
        </w:rPr>
        <w:t>（联合体投标的，则指联合体各方</w:t>
      </w:r>
      <w:r>
        <w:rPr>
          <w:rFonts w:hint="eastAsia" w:ascii="宋体" w:hAnsi="宋体" w:cs="宋体"/>
          <w:color w:val="auto"/>
          <w:szCs w:val="21"/>
          <w:highlight w:val="none"/>
        </w:rPr>
        <w:t>）</w:t>
      </w:r>
      <w:r>
        <w:rPr>
          <w:rFonts w:ascii="宋体" w:hAnsi="宋体" w:cs="Arial"/>
          <w:color w:val="auto"/>
          <w:szCs w:val="21"/>
          <w:highlight w:val="none"/>
        </w:rPr>
        <w:t>和项目负责人</w:t>
      </w:r>
      <w:r>
        <w:rPr>
          <w:rFonts w:hint="eastAsia" w:ascii="宋体" w:hAnsi="宋体" w:cs="Arial"/>
          <w:color w:val="auto"/>
          <w:szCs w:val="21"/>
          <w:highlight w:val="none"/>
        </w:rPr>
        <w:t>近</w:t>
      </w:r>
      <w:r>
        <w:rPr>
          <w:rFonts w:hint="eastAsia" w:ascii="宋体" w:hAnsi="宋体" w:cs="Arial"/>
          <w:b/>
          <w:bCs/>
          <w:color w:val="auto"/>
          <w:szCs w:val="21"/>
          <w:highlight w:val="none"/>
          <w:u w:val="single"/>
        </w:rPr>
        <w:t>五</w:t>
      </w:r>
      <w:r>
        <w:rPr>
          <w:rFonts w:hint="eastAsia" w:ascii="宋体" w:hAnsi="宋体" w:cs="Arial"/>
          <w:color w:val="auto"/>
          <w:szCs w:val="21"/>
          <w:highlight w:val="none"/>
        </w:rPr>
        <w:t>年</w:t>
      </w:r>
      <w:r>
        <w:rPr>
          <w:rFonts w:ascii="宋体" w:hAnsi="宋体" w:cs="Arial"/>
          <w:color w:val="auto"/>
          <w:szCs w:val="21"/>
          <w:highlight w:val="none"/>
        </w:rPr>
        <w:t>无行贿犯罪记录</w:t>
      </w:r>
      <w:r>
        <w:rPr>
          <w:rFonts w:hint="eastAsia" w:ascii="宋体" w:hAnsi="宋体" w:cs="Arial"/>
          <w:color w:val="auto"/>
          <w:szCs w:val="21"/>
          <w:highlight w:val="none"/>
        </w:rPr>
        <w:t>（投标人提供承诺书）。</w:t>
      </w:r>
    </w:p>
    <w:p>
      <w:pPr>
        <w:widowControl/>
        <w:spacing w:line="360" w:lineRule="exact"/>
        <w:rPr>
          <w:rFonts w:ascii="宋体" w:hAnsi="宋体" w:cs="Arial"/>
          <w:color w:val="auto"/>
          <w:szCs w:val="21"/>
          <w:highlight w:val="none"/>
        </w:rPr>
      </w:pPr>
      <w:r>
        <w:rPr>
          <w:rFonts w:ascii="宋体" w:hAnsi="宋体" w:cs="Arial"/>
          <w:color w:val="auto"/>
          <w:szCs w:val="21"/>
          <w:highlight w:val="none"/>
        </w:rPr>
        <w:t>3.4本次招标</w:t>
      </w:r>
      <w:r>
        <w:rPr>
          <w:rFonts w:hint="eastAsia" w:ascii="宋体" w:hAnsi="宋体" w:cs="Arial"/>
          <w:b/>
          <w:color w:val="auto"/>
          <w:szCs w:val="21"/>
          <w:highlight w:val="none"/>
          <w:u w:val="single"/>
        </w:rPr>
        <w:t>接受</w:t>
      </w:r>
      <w:r>
        <w:rPr>
          <w:rFonts w:ascii="宋体" w:hAnsi="宋体" w:cs="Arial"/>
          <w:color w:val="auto"/>
          <w:szCs w:val="21"/>
          <w:highlight w:val="none"/>
        </w:rPr>
        <w:t>联合体投标。联合体投标的，应满足下列要求：</w:t>
      </w:r>
      <w:r>
        <w:rPr>
          <w:rFonts w:hint="eastAsia" w:ascii="宋体" w:hAnsi="宋体"/>
          <w:color w:val="auto"/>
          <w:szCs w:val="21"/>
          <w:highlight w:val="none"/>
          <w:u w:val="single"/>
          <w:shd w:val="clear" w:color="auto" w:fill="FFFFFF"/>
        </w:rPr>
        <w:t>①联合体投标的，联合体各方应签订联合体协议书，明确联合体牵头人、以牵头人的名义递交投标保证金；各成员单位的权利义务等事项；项目负责人由联合体牵头人拟派；②联合体成员总数（含牵头人）不得超过2家，</w:t>
      </w:r>
      <w:r>
        <w:rPr>
          <w:rFonts w:hint="eastAsia" w:ascii="宋体" w:hAnsi="宋体" w:cs="宋体"/>
          <w:color w:val="auto"/>
          <w:szCs w:val="21"/>
          <w:highlight w:val="none"/>
          <w:u w:val="single"/>
          <w:shd w:val="clear" w:color="auto" w:fill="FFFFFF"/>
        </w:rPr>
        <w:t>且牵头人须具有</w:t>
      </w:r>
      <w:r>
        <w:rPr>
          <w:rFonts w:hint="eastAsia" w:ascii="宋体" w:hAnsi="宋体" w:cs="宋体"/>
          <w:color w:val="auto"/>
          <w:szCs w:val="21"/>
          <w:highlight w:val="none"/>
          <w:u w:val="single"/>
        </w:rPr>
        <w:t>建筑机电安装工程专业承包一级资质</w:t>
      </w:r>
      <w:r>
        <w:rPr>
          <w:rFonts w:hint="eastAsia" w:ascii="宋体" w:hAnsi="宋体"/>
          <w:color w:val="auto"/>
          <w:szCs w:val="21"/>
          <w:highlight w:val="none"/>
          <w:u w:val="single"/>
          <w:shd w:val="clear" w:color="auto" w:fill="FFFFFF"/>
        </w:rPr>
        <w:t>；③联合体各方需具备与所承担工作内容相适应的资质；④联合体各方不得再以自己的名义单独或组建新的联合体参与本合同段投标</w:t>
      </w:r>
      <w:r>
        <w:rPr>
          <w:rFonts w:hint="eastAsia" w:ascii="宋体" w:hAnsi="宋体" w:cs="宋体"/>
          <w:i/>
          <w:color w:val="auto"/>
          <w:szCs w:val="21"/>
          <w:highlight w:val="none"/>
        </w:rPr>
        <w:t>。</w:t>
      </w:r>
    </w:p>
    <w:p>
      <w:pPr>
        <w:widowControl/>
        <w:spacing w:line="360" w:lineRule="exact"/>
        <w:rPr>
          <w:rFonts w:ascii="宋体" w:hAnsi="宋体" w:cs="Arial"/>
          <w:color w:val="auto"/>
          <w:szCs w:val="21"/>
          <w:highlight w:val="none"/>
        </w:rPr>
      </w:pPr>
      <w:r>
        <w:rPr>
          <w:rFonts w:ascii="宋体" w:hAnsi="宋体" w:cs="Arial"/>
          <w:color w:val="auto"/>
          <w:szCs w:val="21"/>
          <w:highlight w:val="none"/>
        </w:rPr>
        <w:t>3.5 各投标人均可就上述标段中的</w:t>
      </w:r>
      <w:r>
        <w:rPr>
          <w:rFonts w:ascii="宋体" w:hAnsi="宋体" w:cs="Arial"/>
          <w:color w:val="auto"/>
          <w:szCs w:val="21"/>
          <w:highlight w:val="none"/>
          <w:u w:val="single"/>
        </w:rPr>
        <w:t xml:space="preserve">  </w:t>
      </w:r>
      <w:r>
        <w:rPr>
          <w:rFonts w:hint="eastAsia" w:ascii="宋体" w:hAnsi="宋体" w:cs="宋体"/>
          <w:i/>
          <w:color w:val="auto"/>
          <w:szCs w:val="21"/>
          <w:highlight w:val="none"/>
          <w:u w:val="single"/>
        </w:rPr>
        <w:t xml:space="preserve">   </w:t>
      </w:r>
      <w:r>
        <w:rPr>
          <w:rFonts w:hint="eastAsia" w:ascii="宋体" w:hAnsi="宋体" w:cs="宋体"/>
          <w:b/>
          <w:color w:val="auto"/>
          <w:szCs w:val="21"/>
          <w:highlight w:val="none"/>
          <w:u w:val="single"/>
        </w:rPr>
        <w:t>/</w:t>
      </w:r>
      <w:r>
        <w:rPr>
          <w:rFonts w:hint="eastAsia" w:ascii="宋体" w:hAnsi="宋体" w:cs="宋体"/>
          <w:i/>
          <w:color w:val="auto"/>
          <w:szCs w:val="21"/>
          <w:highlight w:val="none"/>
          <w:u w:val="single"/>
        </w:rPr>
        <w:t xml:space="preserve">   </w:t>
      </w:r>
      <w:r>
        <w:rPr>
          <w:rFonts w:ascii="宋体" w:hAnsi="宋体" w:cs="宋体"/>
          <w:i/>
          <w:color w:val="auto"/>
          <w:szCs w:val="21"/>
          <w:highlight w:val="none"/>
          <w:u w:val="single"/>
        </w:rPr>
        <w:t xml:space="preserve"> </w:t>
      </w:r>
      <w:r>
        <w:rPr>
          <w:rFonts w:ascii="宋体" w:hAnsi="宋体" w:cs="Arial"/>
          <w:color w:val="auto"/>
          <w:szCs w:val="21"/>
          <w:highlight w:val="none"/>
          <w:u w:val="single"/>
        </w:rPr>
        <w:t xml:space="preserve"> </w:t>
      </w:r>
      <w:r>
        <w:rPr>
          <w:rFonts w:ascii="宋体" w:hAnsi="宋体" w:cs="Arial"/>
          <w:color w:val="auto"/>
          <w:szCs w:val="21"/>
          <w:highlight w:val="none"/>
        </w:rPr>
        <w:t>（具体数量）个标段投标。</w:t>
      </w:r>
    </w:p>
    <w:p>
      <w:pPr>
        <w:widowControl/>
        <w:spacing w:line="360" w:lineRule="exact"/>
        <w:rPr>
          <w:rFonts w:ascii="宋体" w:hAnsi="宋体" w:cs="Arial"/>
          <w:color w:val="auto"/>
          <w:szCs w:val="21"/>
          <w:highlight w:val="none"/>
        </w:rPr>
      </w:pPr>
      <w:r>
        <w:rPr>
          <w:rFonts w:hint="eastAsia" w:ascii="宋体" w:hAnsi="宋体" w:cs="Arial"/>
          <w:color w:val="auto"/>
          <w:szCs w:val="21"/>
          <w:highlight w:val="none"/>
        </w:rPr>
        <w:t>4.招标文件获取</w:t>
      </w:r>
    </w:p>
    <w:p>
      <w:pPr>
        <w:widowControl/>
        <w:spacing w:line="360" w:lineRule="exact"/>
        <w:jc w:val="left"/>
        <w:rPr>
          <w:rFonts w:ascii="宋体" w:hAnsi="宋体" w:cs="Arial"/>
          <w:color w:val="auto"/>
          <w:szCs w:val="21"/>
          <w:highlight w:val="none"/>
        </w:rPr>
      </w:pPr>
      <w:r>
        <w:rPr>
          <w:rFonts w:ascii="宋体" w:hAnsi="宋体" w:cs="Arial"/>
          <w:color w:val="auto"/>
          <w:szCs w:val="21"/>
          <w:highlight w:val="none"/>
        </w:rPr>
        <w:t>4.1 凡有意参加投标者，请于</w:t>
      </w:r>
      <w:r>
        <w:rPr>
          <w:rFonts w:hint="eastAsia" w:ascii="宋体" w:hAnsi="宋体" w:cs="宋体"/>
          <w:b/>
          <w:color w:val="auto"/>
          <w:szCs w:val="21"/>
          <w:highlight w:val="none"/>
          <w:u w:val="single"/>
        </w:rPr>
        <w:t>2022</w:t>
      </w:r>
      <w:r>
        <w:rPr>
          <w:rFonts w:ascii="宋体" w:hAnsi="宋体" w:cs="Arial"/>
          <w:color w:val="auto"/>
          <w:szCs w:val="21"/>
          <w:highlight w:val="none"/>
        </w:rPr>
        <w:t>年</w:t>
      </w:r>
      <w:r>
        <w:rPr>
          <w:rFonts w:hint="eastAsia" w:ascii="宋体" w:hAnsi="宋体" w:cs="宋体"/>
          <w:i/>
          <w:color w:val="auto"/>
          <w:szCs w:val="21"/>
          <w:highlight w:val="none"/>
          <w:u w:val="single"/>
        </w:rPr>
        <w:t xml:space="preserve">   </w:t>
      </w:r>
      <w:r>
        <w:rPr>
          <w:rFonts w:ascii="宋体" w:hAnsi="宋体" w:cs="Arial"/>
          <w:color w:val="auto"/>
          <w:szCs w:val="21"/>
          <w:highlight w:val="none"/>
        </w:rPr>
        <w:t>月</w:t>
      </w:r>
      <w:r>
        <w:rPr>
          <w:rFonts w:ascii="宋体" w:hAnsi="宋体" w:cs="Arial"/>
          <w:color w:val="auto"/>
          <w:szCs w:val="21"/>
          <w:highlight w:val="none"/>
          <w:u w:val="single"/>
        </w:rPr>
        <w:t xml:space="preserve">   </w:t>
      </w:r>
      <w:r>
        <w:rPr>
          <w:rFonts w:ascii="宋体" w:hAnsi="宋体" w:cs="Arial"/>
          <w:color w:val="auto"/>
          <w:szCs w:val="21"/>
          <w:highlight w:val="none"/>
        </w:rPr>
        <w:t>日</w:t>
      </w:r>
      <w:r>
        <w:rPr>
          <w:rFonts w:hint="eastAsia" w:ascii="宋体" w:hAnsi="宋体" w:cs="宋体"/>
          <w:color w:val="auto"/>
          <w:szCs w:val="21"/>
          <w:highlight w:val="none"/>
          <w:u w:val="single"/>
        </w:rPr>
        <w:t>8:30</w:t>
      </w:r>
      <w:r>
        <w:rPr>
          <w:rFonts w:ascii="宋体" w:hAnsi="宋体" w:cs="Arial"/>
          <w:color w:val="auto"/>
          <w:szCs w:val="21"/>
          <w:highlight w:val="none"/>
        </w:rPr>
        <w:t>时至</w:t>
      </w:r>
      <w:r>
        <w:rPr>
          <w:rFonts w:hint="eastAsia" w:ascii="宋体" w:hAnsi="宋体" w:cs="宋体"/>
          <w:b/>
          <w:color w:val="auto"/>
          <w:szCs w:val="21"/>
          <w:highlight w:val="none"/>
          <w:u w:val="single"/>
        </w:rPr>
        <w:t>2022</w:t>
      </w:r>
      <w:r>
        <w:rPr>
          <w:rFonts w:ascii="宋体" w:hAnsi="宋体" w:cs="Arial"/>
          <w:color w:val="auto"/>
          <w:szCs w:val="21"/>
          <w:highlight w:val="none"/>
        </w:rPr>
        <w:t>年</w:t>
      </w:r>
      <w:r>
        <w:rPr>
          <w:rFonts w:ascii="宋体" w:hAnsi="宋体" w:cs="宋体"/>
          <w:i/>
          <w:color w:val="auto"/>
          <w:szCs w:val="21"/>
          <w:highlight w:val="none"/>
          <w:u w:val="single"/>
        </w:rPr>
        <w:t xml:space="preserve"> </w:t>
      </w:r>
      <w:r>
        <w:rPr>
          <w:rFonts w:hint="eastAsia" w:ascii="宋体" w:hAnsi="宋体" w:cs="宋体"/>
          <w:i/>
          <w:color w:val="auto"/>
          <w:szCs w:val="21"/>
          <w:highlight w:val="none"/>
          <w:u w:val="single"/>
        </w:rPr>
        <w:t xml:space="preserve"> </w:t>
      </w:r>
      <w:r>
        <w:rPr>
          <w:rFonts w:ascii="宋体" w:hAnsi="宋体" w:cs="宋体"/>
          <w:i/>
          <w:color w:val="auto"/>
          <w:szCs w:val="21"/>
          <w:highlight w:val="none"/>
          <w:u w:val="single"/>
        </w:rPr>
        <w:t xml:space="preserve"> </w:t>
      </w:r>
      <w:r>
        <w:rPr>
          <w:rFonts w:ascii="宋体" w:hAnsi="宋体" w:cs="Arial"/>
          <w:color w:val="auto"/>
          <w:szCs w:val="21"/>
          <w:highlight w:val="none"/>
        </w:rPr>
        <w:t>月</w:t>
      </w:r>
      <w:r>
        <w:rPr>
          <w:rFonts w:ascii="宋体" w:hAnsi="宋体" w:cs="Arial"/>
          <w:color w:val="auto"/>
          <w:szCs w:val="21"/>
          <w:highlight w:val="none"/>
          <w:u w:val="single"/>
        </w:rPr>
        <w:t xml:space="preserve">   </w:t>
      </w:r>
      <w:r>
        <w:rPr>
          <w:rFonts w:ascii="宋体" w:hAnsi="宋体" w:cs="Arial"/>
          <w:color w:val="auto"/>
          <w:szCs w:val="21"/>
          <w:highlight w:val="none"/>
        </w:rPr>
        <w:t>日</w:t>
      </w:r>
      <w:r>
        <w:rPr>
          <w:rFonts w:hint="eastAsia" w:ascii="宋体" w:hAnsi="宋体" w:cs="宋体"/>
          <w:color w:val="auto"/>
          <w:szCs w:val="21"/>
          <w:highlight w:val="none"/>
          <w:u w:val="single"/>
        </w:rPr>
        <w:t>17:00</w:t>
      </w:r>
      <w:r>
        <w:rPr>
          <w:rFonts w:ascii="宋体" w:hAnsi="宋体" w:cs="Arial"/>
          <w:color w:val="auto"/>
          <w:szCs w:val="21"/>
          <w:highlight w:val="none"/>
        </w:rPr>
        <w:t>时在绍兴市公共资源交易中心</w:t>
      </w:r>
      <w:r>
        <w:rPr>
          <w:rFonts w:hint="eastAsia" w:ascii="宋体" w:hAnsi="宋体" w:cs="Arial"/>
          <w:color w:val="auto"/>
          <w:szCs w:val="21"/>
          <w:highlight w:val="none"/>
        </w:rPr>
        <w:t>新版电子招投标交易平台（</w:t>
      </w:r>
      <w:r>
        <w:rPr>
          <w:rFonts w:ascii="宋体" w:hAnsi="宋体" w:cs="Arial"/>
          <w:color w:val="auto"/>
          <w:szCs w:val="21"/>
          <w:highlight w:val="none"/>
          <w:u w:val="single"/>
        </w:rPr>
        <w:t>http://p.ggb.sx.gov.cn:6081/TPBidder/</w:t>
      </w:r>
      <w:r>
        <w:rPr>
          <w:rFonts w:hint="eastAsia" w:ascii="宋体" w:hAnsi="宋体" w:cs="Arial"/>
          <w:color w:val="auto"/>
          <w:szCs w:val="21"/>
          <w:highlight w:val="none"/>
        </w:rPr>
        <w:t>）自行下载招标文件，截止期后交易平台不再提供下载服务；</w:t>
      </w:r>
      <w:r>
        <w:rPr>
          <w:rFonts w:ascii="宋体" w:hAnsi="宋体" w:cs="Arial"/>
          <w:color w:val="auto"/>
          <w:szCs w:val="21"/>
          <w:highlight w:val="none"/>
        </w:rPr>
        <w:t>未在规定时间内获取招标文件的，不接受其投标</w:t>
      </w:r>
      <w:r>
        <w:rPr>
          <w:rFonts w:hint="eastAsia" w:ascii="宋体" w:hAnsi="宋体" w:cs="Arial"/>
          <w:color w:val="auto"/>
          <w:szCs w:val="21"/>
          <w:highlight w:val="none"/>
        </w:rPr>
        <w:t>。</w:t>
      </w:r>
    </w:p>
    <w:p>
      <w:pPr>
        <w:widowControl/>
        <w:spacing w:line="360" w:lineRule="exact"/>
        <w:rPr>
          <w:rFonts w:ascii="宋体" w:hAnsi="宋体" w:cs="Arial"/>
          <w:color w:val="auto"/>
          <w:szCs w:val="21"/>
          <w:highlight w:val="none"/>
        </w:rPr>
      </w:pPr>
      <w:r>
        <w:rPr>
          <w:rFonts w:ascii="宋体" w:hAnsi="宋体" w:cs="Arial"/>
          <w:color w:val="auto"/>
          <w:szCs w:val="21"/>
          <w:highlight w:val="none"/>
        </w:rPr>
        <w:t>4.2 招标文件每套售价</w:t>
      </w:r>
      <w:r>
        <w:rPr>
          <w:rFonts w:ascii="宋体" w:hAnsi="宋体" w:cs="宋体"/>
          <w:i/>
          <w:color w:val="auto"/>
          <w:szCs w:val="21"/>
          <w:highlight w:val="none"/>
          <w:u w:val="single"/>
        </w:rPr>
        <w:t xml:space="preserve"> </w:t>
      </w:r>
      <w:r>
        <w:rPr>
          <w:rFonts w:hint="eastAsia" w:ascii="宋体" w:hAnsi="宋体" w:cs="宋体"/>
          <w:i/>
          <w:color w:val="auto"/>
          <w:szCs w:val="21"/>
          <w:highlight w:val="none"/>
          <w:u w:val="single"/>
        </w:rPr>
        <w:t xml:space="preserve">  </w:t>
      </w:r>
      <w:r>
        <w:rPr>
          <w:rFonts w:hint="eastAsia" w:ascii="宋体" w:hAnsi="宋体" w:cs="宋体"/>
          <w:b/>
          <w:color w:val="auto"/>
          <w:szCs w:val="21"/>
          <w:highlight w:val="none"/>
          <w:u w:val="single"/>
        </w:rPr>
        <w:t>/</w:t>
      </w:r>
      <w:r>
        <w:rPr>
          <w:rFonts w:hint="eastAsia" w:ascii="宋体" w:hAnsi="宋体" w:cs="Arial"/>
          <w:color w:val="auto"/>
          <w:szCs w:val="21"/>
          <w:highlight w:val="none"/>
          <w:u w:val="single"/>
        </w:rPr>
        <w:t xml:space="preserve"> </w:t>
      </w:r>
      <w:r>
        <w:rPr>
          <w:rFonts w:hint="eastAsia" w:ascii="宋体" w:hAnsi="宋体" w:cs="宋体"/>
          <w:i/>
          <w:color w:val="auto"/>
          <w:szCs w:val="21"/>
          <w:highlight w:val="none"/>
          <w:u w:val="single"/>
        </w:rPr>
        <w:t xml:space="preserve"> </w:t>
      </w:r>
      <w:r>
        <w:rPr>
          <w:rFonts w:ascii="宋体" w:hAnsi="宋体" w:cs="Arial"/>
          <w:color w:val="auto"/>
          <w:szCs w:val="21"/>
          <w:highlight w:val="none"/>
        </w:rPr>
        <w:t>元，售后不退。图纸押金</w:t>
      </w:r>
      <w:r>
        <w:rPr>
          <w:rFonts w:ascii="宋体" w:hAnsi="宋体" w:cs="Arial"/>
          <w:color w:val="auto"/>
          <w:szCs w:val="21"/>
          <w:highlight w:val="none"/>
          <w:u w:val="single"/>
        </w:rPr>
        <w:t xml:space="preserve"> </w:t>
      </w:r>
      <w:r>
        <w:rPr>
          <w:rFonts w:hint="eastAsia" w:ascii="宋体" w:hAnsi="宋体" w:cs="宋体"/>
          <w:i/>
          <w:color w:val="auto"/>
          <w:szCs w:val="21"/>
          <w:highlight w:val="none"/>
          <w:u w:val="single"/>
        </w:rPr>
        <w:t xml:space="preserve"> </w:t>
      </w:r>
      <w:r>
        <w:rPr>
          <w:rFonts w:hint="eastAsia" w:ascii="宋体" w:hAnsi="宋体" w:cs="宋体"/>
          <w:b/>
          <w:color w:val="auto"/>
          <w:szCs w:val="21"/>
          <w:highlight w:val="none"/>
          <w:u w:val="single"/>
        </w:rPr>
        <w:t>/</w:t>
      </w:r>
      <w:r>
        <w:rPr>
          <w:rFonts w:hint="eastAsia" w:ascii="宋体" w:hAnsi="宋体" w:cs="Arial"/>
          <w:color w:val="auto"/>
          <w:szCs w:val="21"/>
          <w:highlight w:val="none"/>
          <w:u w:val="single"/>
        </w:rPr>
        <w:t xml:space="preserve">  </w:t>
      </w:r>
      <w:r>
        <w:rPr>
          <w:rFonts w:ascii="宋体" w:hAnsi="宋体" w:cs="Arial"/>
          <w:color w:val="auto"/>
          <w:szCs w:val="21"/>
          <w:highlight w:val="none"/>
        </w:rPr>
        <w:t>元，在退还图纸时退还（不计利息）。</w:t>
      </w:r>
    </w:p>
    <w:p>
      <w:pPr>
        <w:widowControl/>
        <w:spacing w:line="360" w:lineRule="exact"/>
        <w:rPr>
          <w:rFonts w:ascii="宋体" w:hAnsi="宋体" w:cs="Arial"/>
          <w:color w:val="auto"/>
          <w:szCs w:val="21"/>
          <w:highlight w:val="none"/>
        </w:rPr>
      </w:pPr>
      <w:r>
        <w:rPr>
          <w:rFonts w:hint="eastAsia" w:ascii="宋体" w:hAnsi="宋体" w:cs="Arial"/>
          <w:color w:val="auto"/>
          <w:szCs w:val="21"/>
          <w:highlight w:val="none"/>
        </w:rPr>
        <w:t>5.投标保证金</w:t>
      </w:r>
    </w:p>
    <w:p>
      <w:pPr>
        <w:widowControl/>
        <w:spacing w:line="360" w:lineRule="exact"/>
        <w:ind w:firstLine="420" w:firstLineChars="200"/>
        <w:rPr>
          <w:rFonts w:ascii="宋体" w:hAnsi="宋体" w:cs="仿宋"/>
          <w:color w:val="auto"/>
          <w:szCs w:val="21"/>
          <w:highlight w:val="none"/>
        </w:rPr>
      </w:pPr>
      <w:r>
        <w:rPr>
          <w:rFonts w:ascii="宋体" w:hAnsi="宋体" w:cs="Arial"/>
          <w:color w:val="auto"/>
          <w:szCs w:val="21"/>
          <w:highlight w:val="none"/>
        </w:rPr>
        <w:t>本工程需缴纳投标保证金</w:t>
      </w:r>
      <w:r>
        <w:rPr>
          <w:rFonts w:ascii="宋体" w:hAnsi="宋体" w:cs="Arial"/>
          <w:color w:val="auto"/>
          <w:szCs w:val="21"/>
          <w:highlight w:val="none"/>
          <w:u w:val="single"/>
        </w:rPr>
        <w:t xml:space="preserve"> </w:t>
      </w:r>
      <w:r>
        <w:rPr>
          <w:rFonts w:hint="eastAsia" w:ascii="宋体" w:hAnsi="宋体" w:cs="宋体"/>
          <w:b/>
          <w:color w:val="auto"/>
          <w:szCs w:val="21"/>
          <w:highlight w:val="none"/>
          <w:u w:val="single"/>
        </w:rPr>
        <w:t>伍拾</w:t>
      </w:r>
      <w:r>
        <w:rPr>
          <w:rFonts w:hint="eastAsia" w:ascii="宋体" w:hAnsi="宋体" w:cs="Arial"/>
          <w:color w:val="auto"/>
          <w:szCs w:val="21"/>
          <w:highlight w:val="none"/>
          <w:u w:val="single"/>
        </w:rPr>
        <w:t xml:space="preserve"> </w:t>
      </w:r>
      <w:r>
        <w:rPr>
          <w:rFonts w:ascii="宋体" w:hAnsi="宋体" w:cs="Arial"/>
          <w:color w:val="auto"/>
          <w:szCs w:val="21"/>
          <w:highlight w:val="none"/>
        </w:rPr>
        <w:t>万元,</w:t>
      </w:r>
      <w:r>
        <w:rPr>
          <w:rFonts w:hint="eastAsia" w:ascii="宋体" w:hAnsi="宋体"/>
          <w:color w:val="auto"/>
          <w:szCs w:val="21"/>
          <w:highlight w:val="none"/>
        </w:rPr>
        <w:t xml:space="preserve"> 投标保证金在投标人自行获取招标文件后，在</w:t>
      </w:r>
      <w:r>
        <w:rPr>
          <w:rFonts w:hint="eastAsia" w:ascii="宋体" w:hAnsi="宋体" w:cs="宋体"/>
          <w:color w:val="auto"/>
          <w:szCs w:val="21"/>
          <w:highlight w:val="none"/>
          <w:u w:val="single"/>
        </w:rPr>
        <w:t>2022</w:t>
      </w:r>
      <w:r>
        <w:rPr>
          <w:rFonts w:hint="eastAsia" w:ascii="宋体" w:hAnsi="宋体" w:cs="仿宋"/>
          <w:color w:val="auto"/>
          <w:szCs w:val="21"/>
          <w:highlight w:val="none"/>
        </w:rPr>
        <w:t>年</w:t>
      </w:r>
      <w:r>
        <w:rPr>
          <w:rFonts w:hint="eastAsia" w:ascii="宋体" w:hAnsi="宋体" w:cs="仿宋"/>
          <w:color w:val="auto"/>
          <w:szCs w:val="21"/>
          <w:highlight w:val="none"/>
          <w:u w:val="single"/>
        </w:rPr>
        <w:t xml:space="preserve">   </w:t>
      </w:r>
      <w:r>
        <w:rPr>
          <w:rFonts w:hint="eastAsia" w:ascii="宋体" w:hAnsi="宋体" w:cs="仿宋"/>
          <w:color w:val="auto"/>
          <w:szCs w:val="21"/>
          <w:highlight w:val="none"/>
        </w:rPr>
        <w:t>月</w:t>
      </w:r>
      <w:r>
        <w:rPr>
          <w:rFonts w:hint="eastAsia" w:ascii="宋体" w:hAnsi="宋体" w:cs="仿宋"/>
          <w:color w:val="auto"/>
          <w:szCs w:val="21"/>
          <w:highlight w:val="none"/>
          <w:u w:val="single"/>
        </w:rPr>
        <w:t xml:space="preserve">   </w:t>
      </w:r>
      <w:r>
        <w:rPr>
          <w:rFonts w:hint="eastAsia" w:ascii="宋体" w:hAnsi="宋体" w:cs="仿宋"/>
          <w:color w:val="auto"/>
          <w:szCs w:val="21"/>
          <w:highlight w:val="none"/>
        </w:rPr>
        <w:t>日</w:t>
      </w:r>
      <w:r>
        <w:rPr>
          <w:rFonts w:hint="eastAsia" w:ascii="宋体" w:hAnsi="宋体" w:cs="宋体"/>
          <w:color w:val="auto"/>
          <w:szCs w:val="21"/>
          <w:highlight w:val="none"/>
          <w:u w:val="single"/>
        </w:rPr>
        <w:t>17:00</w:t>
      </w:r>
      <w:r>
        <w:rPr>
          <w:rFonts w:hint="eastAsia" w:ascii="宋体" w:hAnsi="宋体" w:cs="仿宋"/>
          <w:color w:val="auto"/>
          <w:szCs w:val="21"/>
          <w:highlight w:val="none"/>
        </w:rPr>
        <w:t>时前缴纳。缴纳方式为：</w:t>
      </w:r>
    </w:p>
    <w:p>
      <w:pPr>
        <w:widowControl/>
        <w:spacing w:line="360" w:lineRule="exact"/>
        <w:ind w:firstLine="0" w:firstLineChars="0"/>
        <w:rPr>
          <w:rFonts w:ascii="宋体" w:hAnsi="宋体" w:cs="仿宋"/>
          <w:color w:val="auto"/>
          <w:szCs w:val="21"/>
          <w:highlight w:val="none"/>
        </w:rPr>
      </w:pPr>
      <w:r>
        <w:rPr>
          <w:rFonts w:hint="eastAsia" w:ascii="宋体" w:hAnsi="宋体" w:cs="仿宋"/>
          <w:color w:val="auto"/>
          <w:szCs w:val="21"/>
          <w:highlight w:val="none"/>
          <w:lang w:val="en-US" w:eastAsia="zh-CN"/>
        </w:rPr>
        <w:t>5.1</w:t>
      </w:r>
      <w:r>
        <w:rPr>
          <w:rFonts w:hint="eastAsia" w:ascii="宋体" w:hAnsi="宋体" w:cs="仿宋"/>
          <w:color w:val="auto"/>
          <w:szCs w:val="21"/>
          <w:highlight w:val="none"/>
        </w:rPr>
        <w:t>投标人基本账户开具的银行票据，即汇票、电汇、转账支票等(不包括现金）。保证金缴入账户：账户一：开户单位名称：绍兴市公共资源交易中心保证金专户，开户行:绍兴银行营业部；账号：</w:t>
      </w:r>
      <w:r>
        <w:rPr>
          <w:rFonts w:hint="eastAsia" w:ascii="宋体" w:hAnsi="宋体" w:cs="宋体"/>
          <w:b/>
          <w:color w:val="auto"/>
          <w:szCs w:val="21"/>
          <w:highlight w:val="none"/>
          <w:u w:val="single"/>
          <w:lang w:val="en-US" w:eastAsia="zh-CN"/>
        </w:rPr>
        <w:t xml:space="preserve">                     </w:t>
      </w:r>
      <w:r>
        <w:rPr>
          <w:rFonts w:hint="eastAsia" w:ascii="宋体" w:hAnsi="宋体" w:cs="仿宋"/>
          <w:color w:val="auto"/>
          <w:szCs w:val="21"/>
          <w:highlight w:val="none"/>
        </w:rPr>
        <w:t>；账户二：开户单位名称：绍兴市公共资源交易中心保证金专户，开户行:中信银行绍兴城东支行；账号：</w:t>
      </w:r>
      <w:r>
        <w:rPr>
          <w:rFonts w:hint="eastAsia" w:ascii="宋体" w:hAnsi="宋体" w:cs="宋体"/>
          <w:b/>
          <w:color w:val="auto"/>
          <w:szCs w:val="21"/>
          <w:highlight w:val="none"/>
          <w:u w:val="single"/>
          <w:lang w:val="en-US" w:eastAsia="zh-CN"/>
        </w:rPr>
        <w:t xml:space="preserve">                   </w:t>
      </w:r>
      <w:r>
        <w:rPr>
          <w:rFonts w:hint="eastAsia" w:ascii="宋体" w:hAnsi="宋体" w:cs="仿宋"/>
          <w:color w:val="auto"/>
          <w:szCs w:val="21"/>
          <w:highlight w:val="none"/>
        </w:rPr>
        <w:t>；投标人可自主选择以上账户之一缴纳投标保证金。</w:t>
      </w:r>
    </w:p>
    <w:p>
      <w:pPr>
        <w:widowControl/>
        <w:spacing w:line="360" w:lineRule="exact"/>
        <w:ind w:firstLine="0" w:firstLineChars="0"/>
        <w:rPr>
          <w:rFonts w:ascii="宋体" w:hAnsi="宋体" w:cs="仿宋"/>
          <w:color w:val="auto"/>
          <w:szCs w:val="21"/>
          <w:highlight w:val="none"/>
        </w:rPr>
      </w:pPr>
      <w:r>
        <w:rPr>
          <w:rFonts w:hint="eastAsia" w:ascii="宋体" w:hAnsi="宋体" w:cs="仿宋"/>
          <w:color w:val="auto"/>
          <w:szCs w:val="21"/>
          <w:highlight w:val="none"/>
          <w:lang w:val="en-US" w:eastAsia="zh-CN"/>
        </w:rPr>
        <w:t>5.2</w:t>
      </w:r>
      <w:r>
        <w:rPr>
          <w:rFonts w:hint="eastAsia" w:ascii="宋体" w:hAnsi="宋体" w:eastAsia="宋体" w:cs="仿宋"/>
          <w:color w:val="auto"/>
          <w:sz w:val="21"/>
          <w:szCs w:val="21"/>
          <w:highlight w:val="none"/>
          <w:lang w:val="en-US" w:eastAsia="zh-CN"/>
        </w:rPr>
        <w:t>招标人接受绍兴市公共资源交易中心出具的“年度投标保证金证明”作为投标保证金缴纳凭证，投标人不用另行提供其他证明材料</w:t>
      </w:r>
      <w:r>
        <w:rPr>
          <w:rFonts w:hint="eastAsia" w:ascii="宋体" w:hAnsi="宋体" w:eastAsia="宋体" w:cs="仿宋"/>
          <w:color w:val="auto"/>
          <w:szCs w:val="21"/>
          <w:highlight w:val="none"/>
        </w:rPr>
        <w:t>。</w:t>
      </w:r>
    </w:p>
    <w:p>
      <w:pPr>
        <w:widowControl/>
        <w:spacing w:line="360" w:lineRule="exact"/>
        <w:ind w:firstLine="0" w:firstLineChars="0"/>
        <w:rPr>
          <w:rFonts w:ascii="宋体" w:hAnsi="宋体"/>
          <w:bCs/>
          <w:color w:val="auto"/>
          <w:spacing w:val="-2"/>
          <w:szCs w:val="21"/>
          <w:highlight w:val="none"/>
        </w:rPr>
      </w:pPr>
      <w:r>
        <w:rPr>
          <w:rFonts w:hint="eastAsia" w:ascii="宋体" w:hAnsi="宋体" w:cs="仿宋"/>
          <w:color w:val="auto"/>
          <w:szCs w:val="21"/>
          <w:highlight w:val="none"/>
          <w:lang w:val="en-US" w:eastAsia="zh-CN"/>
        </w:rPr>
        <w:t>5.3</w:t>
      </w:r>
      <w:r>
        <w:rPr>
          <w:rFonts w:hint="eastAsia" w:ascii="宋体" w:hAnsi="宋体" w:cs="仿宋"/>
          <w:color w:val="auto"/>
          <w:szCs w:val="21"/>
          <w:highlight w:val="none"/>
        </w:rPr>
        <w:t>招标人接受投标保证金电子保险保函。投标人自行在电子招投标交易平台（</w:t>
      </w:r>
      <w:r>
        <w:rPr>
          <w:rFonts w:hint="eastAsia"/>
          <w:color w:val="auto"/>
          <w:highlight w:val="none"/>
        </w:rPr>
        <w:fldChar w:fldCharType="begin"/>
      </w:r>
      <w:r>
        <w:rPr>
          <w:color w:val="auto"/>
          <w:highlight w:val="none"/>
        </w:rPr>
        <w:instrText xml:space="preserve"> HYPERLINK "http://p.ggb.sx.gov.cn:6081/TPBidder/" </w:instrText>
      </w:r>
      <w:r>
        <w:rPr>
          <w:rFonts w:hint="eastAsia"/>
          <w:color w:val="auto"/>
          <w:highlight w:val="none"/>
        </w:rPr>
        <w:fldChar w:fldCharType="separate"/>
      </w:r>
      <w:r>
        <w:rPr>
          <w:rStyle w:val="38"/>
          <w:rFonts w:hint="eastAsia" w:ascii="宋体" w:hAnsi="宋体"/>
          <w:color w:val="auto"/>
          <w:szCs w:val="21"/>
          <w:highlight w:val="none"/>
        </w:rPr>
        <w:t>http://p.ggb.sx.gov.cn:6081/TPBidder/</w:t>
      </w:r>
      <w:r>
        <w:rPr>
          <w:rStyle w:val="38"/>
          <w:rFonts w:hint="eastAsia" w:ascii="宋体" w:hAnsi="宋体"/>
          <w:color w:val="auto"/>
          <w:szCs w:val="21"/>
          <w:highlight w:val="none"/>
        </w:rPr>
        <w:fldChar w:fldCharType="end"/>
      </w:r>
      <w:r>
        <w:rPr>
          <w:rFonts w:hint="eastAsia" w:ascii="宋体" w:hAnsi="宋体" w:cs="仿宋"/>
          <w:color w:val="auto"/>
          <w:szCs w:val="21"/>
          <w:highlight w:val="none"/>
        </w:rPr>
        <w:t>）中自主选择办理。保险保函费用必须从投标人企业</w:t>
      </w:r>
      <w:r>
        <w:rPr>
          <w:rFonts w:hint="eastAsia" w:ascii="宋体" w:hAnsi="宋体" w:cs="仿宋"/>
          <w:color w:val="auto"/>
          <w:szCs w:val="21"/>
          <w:highlight w:val="none"/>
          <w:shd w:val="clear" w:color="auto" w:fill="FFFFFF"/>
        </w:rPr>
        <w:t>基本账户转出，并在投标保证金缴纳截止时间前</w:t>
      </w:r>
      <w:r>
        <w:rPr>
          <w:rFonts w:hint="eastAsia" w:ascii="宋体" w:hAnsi="宋体" w:cs="仿宋"/>
          <w:color w:val="auto"/>
          <w:szCs w:val="21"/>
          <w:highlight w:val="none"/>
        </w:rPr>
        <w:t>办妥保险保函手续</w:t>
      </w:r>
      <w:r>
        <w:rPr>
          <w:rFonts w:ascii="宋体" w:hAnsi="宋体"/>
          <w:bCs/>
          <w:color w:val="auto"/>
          <w:spacing w:val="-2"/>
          <w:szCs w:val="21"/>
          <w:highlight w:val="none"/>
        </w:rPr>
        <w:t>。</w:t>
      </w:r>
    </w:p>
    <w:p>
      <w:pPr>
        <w:widowControl/>
        <w:spacing w:line="360" w:lineRule="exact"/>
        <w:rPr>
          <w:rFonts w:ascii="宋体" w:hAnsi="宋体" w:cs="Arial"/>
          <w:b/>
          <w:color w:val="auto"/>
          <w:szCs w:val="21"/>
          <w:highlight w:val="none"/>
        </w:rPr>
      </w:pPr>
      <w:r>
        <w:rPr>
          <w:rFonts w:ascii="宋体" w:hAnsi="宋体" w:cs="Arial"/>
          <w:b/>
          <w:color w:val="auto"/>
          <w:szCs w:val="21"/>
          <w:highlight w:val="none"/>
        </w:rPr>
        <w:t>6.其他有关内容</w:t>
      </w:r>
    </w:p>
    <w:p>
      <w:pPr>
        <w:widowControl/>
        <w:spacing w:line="360" w:lineRule="exact"/>
        <w:rPr>
          <w:rFonts w:ascii="宋体" w:hAnsi="宋体" w:cs="Arial"/>
          <w:color w:val="auto"/>
          <w:szCs w:val="21"/>
          <w:highlight w:val="none"/>
        </w:rPr>
      </w:pPr>
      <w:r>
        <w:rPr>
          <w:rFonts w:ascii="宋体" w:hAnsi="宋体" w:cs="Arial"/>
          <w:color w:val="auto"/>
          <w:szCs w:val="21"/>
          <w:highlight w:val="none"/>
        </w:rPr>
        <w:t>6.1评标入围方法：</w:t>
      </w:r>
      <w:r>
        <w:rPr>
          <w:rFonts w:hint="eastAsia" w:ascii="宋体" w:hAnsi="宋体" w:cs="Arial"/>
          <w:b/>
          <w:iCs/>
          <w:color w:val="auto"/>
          <w:szCs w:val="21"/>
          <w:highlight w:val="none"/>
          <w:u w:val="single"/>
        </w:rPr>
        <w:t>全部入围</w:t>
      </w:r>
      <w:r>
        <w:rPr>
          <w:rFonts w:ascii="宋体" w:hAnsi="宋体" w:cs="Arial"/>
          <w:color w:val="auto"/>
          <w:szCs w:val="21"/>
          <w:highlight w:val="none"/>
        </w:rPr>
        <w:t>。</w:t>
      </w:r>
    </w:p>
    <w:p>
      <w:pPr>
        <w:widowControl/>
        <w:spacing w:line="360" w:lineRule="exact"/>
        <w:rPr>
          <w:rFonts w:ascii="宋体" w:hAnsi="宋体" w:cs="Arial"/>
          <w:color w:val="auto"/>
          <w:szCs w:val="21"/>
          <w:highlight w:val="none"/>
        </w:rPr>
      </w:pPr>
      <w:r>
        <w:rPr>
          <w:rFonts w:ascii="宋体" w:hAnsi="宋体" w:cs="Arial"/>
          <w:color w:val="auto"/>
          <w:szCs w:val="21"/>
          <w:highlight w:val="none"/>
        </w:rPr>
        <w:t>6.2评标方法：</w:t>
      </w:r>
      <w:r>
        <w:rPr>
          <w:rFonts w:hint="eastAsia" w:ascii="宋体" w:hAnsi="宋体" w:cs="Arial"/>
          <w:b/>
          <w:iCs/>
          <w:color w:val="auto"/>
          <w:szCs w:val="21"/>
          <w:highlight w:val="none"/>
          <w:u w:val="single"/>
        </w:rPr>
        <w:t>综合评估法</w:t>
      </w:r>
      <w:r>
        <w:rPr>
          <w:rFonts w:ascii="宋体" w:hAnsi="宋体" w:cs="Arial"/>
          <w:color w:val="auto"/>
          <w:szCs w:val="21"/>
          <w:highlight w:val="none"/>
        </w:rPr>
        <w:t>。</w:t>
      </w:r>
    </w:p>
    <w:p>
      <w:pPr>
        <w:widowControl/>
        <w:spacing w:line="360" w:lineRule="exact"/>
        <w:rPr>
          <w:rFonts w:ascii="宋体" w:hAnsi="宋体" w:cs="Arial"/>
          <w:color w:val="auto"/>
          <w:szCs w:val="21"/>
          <w:highlight w:val="none"/>
        </w:rPr>
      </w:pPr>
      <w:r>
        <w:rPr>
          <w:rFonts w:ascii="宋体" w:hAnsi="宋体" w:cs="Arial"/>
          <w:color w:val="auto"/>
          <w:szCs w:val="21"/>
          <w:highlight w:val="none"/>
        </w:rPr>
        <w:t>6.3中标方式：</w:t>
      </w:r>
      <w:r>
        <w:rPr>
          <w:rFonts w:hint="eastAsia" w:ascii="宋体" w:hAnsi="宋体" w:cs="Arial"/>
          <w:b/>
          <w:iCs/>
          <w:color w:val="auto"/>
          <w:szCs w:val="21"/>
          <w:highlight w:val="none"/>
          <w:u w:val="single"/>
        </w:rPr>
        <w:t>最高分中标</w:t>
      </w:r>
      <w:r>
        <w:rPr>
          <w:rFonts w:ascii="宋体" w:hAnsi="宋体" w:cs="Arial"/>
          <w:color w:val="auto"/>
          <w:szCs w:val="21"/>
          <w:highlight w:val="none"/>
        </w:rPr>
        <w:t>。</w:t>
      </w:r>
    </w:p>
    <w:p>
      <w:pPr>
        <w:widowControl/>
        <w:spacing w:line="360" w:lineRule="exact"/>
        <w:rPr>
          <w:rFonts w:ascii="宋体" w:hAnsi="宋体" w:cs="Arial"/>
          <w:color w:val="auto"/>
          <w:szCs w:val="21"/>
          <w:highlight w:val="none"/>
          <w:u w:val="single"/>
        </w:rPr>
      </w:pPr>
      <w:r>
        <w:rPr>
          <w:rFonts w:ascii="宋体" w:hAnsi="宋体" w:cs="Arial"/>
          <w:color w:val="auto"/>
          <w:szCs w:val="21"/>
          <w:highlight w:val="none"/>
        </w:rPr>
        <w:t>6.</w:t>
      </w:r>
      <w:r>
        <w:rPr>
          <w:rFonts w:hint="eastAsia" w:ascii="宋体" w:hAnsi="宋体" w:cs="Arial"/>
          <w:color w:val="auto"/>
          <w:szCs w:val="21"/>
          <w:highlight w:val="none"/>
        </w:rPr>
        <w:t>4投标文件的递交</w:t>
      </w:r>
      <w:r>
        <w:rPr>
          <w:rFonts w:ascii="宋体" w:hAnsi="宋体" w:cs="Arial"/>
          <w:color w:val="auto"/>
          <w:szCs w:val="21"/>
          <w:highlight w:val="none"/>
        </w:rPr>
        <w:t>：</w:t>
      </w:r>
      <w:r>
        <w:rPr>
          <w:rFonts w:hint="eastAsia" w:ascii="宋体" w:hAnsi="宋体" w:cs="Arial"/>
          <w:color w:val="auto"/>
          <w:szCs w:val="21"/>
          <w:highlight w:val="none"/>
        </w:rPr>
        <w:t>投标文件递交的截止时间为</w:t>
      </w:r>
      <w:r>
        <w:rPr>
          <w:rFonts w:hint="eastAsia" w:ascii="宋体" w:hAnsi="宋体" w:cs="Arial"/>
          <w:b/>
          <w:color w:val="auto"/>
          <w:szCs w:val="21"/>
          <w:highlight w:val="none"/>
          <w:u w:val="single"/>
        </w:rPr>
        <w:t>2022</w:t>
      </w:r>
      <w:r>
        <w:rPr>
          <w:rFonts w:hint="eastAsia" w:ascii="宋体" w:hAnsi="宋体" w:cs="Arial"/>
          <w:color w:val="auto"/>
          <w:szCs w:val="21"/>
          <w:highlight w:val="none"/>
        </w:rPr>
        <w:t>年</w:t>
      </w:r>
      <w:r>
        <w:rPr>
          <w:rFonts w:hint="eastAsia" w:ascii="宋体" w:hAnsi="宋体" w:cs="Arial"/>
          <w:color w:val="auto"/>
          <w:szCs w:val="21"/>
          <w:highlight w:val="none"/>
          <w:u w:val="single"/>
        </w:rPr>
        <w:t xml:space="preserve">   </w:t>
      </w:r>
      <w:r>
        <w:rPr>
          <w:rFonts w:hint="eastAsia" w:ascii="宋体" w:hAnsi="宋体" w:cs="Arial"/>
          <w:color w:val="auto"/>
          <w:szCs w:val="21"/>
          <w:highlight w:val="none"/>
        </w:rPr>
        <w:t>月</w:t>
      </w:r>
      <w:r>
        <w:rPr>
          <w:rFonts w:hint="eastAsia" w:ascii="宋体" w:hAnsi="宋体" w:cs="Arial"/>
          <w:color w:val="auto"/>
          <w:szCs w:val="21"/>
          <w:highlight w:val="none"/>
          <w:u w:val="single"/>
        </w:rPr>
        <w:t xml:space="preserve">   </w:t>
      </w:r>
      <w:r>
        <w:rPr>
          <w:rFonts w:hint="eastAsia" w:ascii="宋体" w:hAnsi="宋体" w:cs="Arial"/>
          <w:color w:val="auto"/>
          <w:szCs w:val="21"/>
          <w:highlight w:val="none"/>
        </w:rPr>
        <w:t>日</w:t>
      </w:r>
      <w:r>
        <w:rPr>
          <w:rFonts w:hint="eastAsia" w:ascii="宋体" w:hAnsi="宋体" w:cs="Arial"/>
          <w:color w:val="auto"/>
          <w:szCs w:val="21"/>
          <w:highlight w:val="none"/>
          <w:u w:val="single"/>
        </w:rPr>
        <w:t xml:space="preserve">    </w:t>
      </w:r>
      <w:r>
        <w:rPr>
          <w:rFonts w:hint="eastAsia" w:ascii="宋体" w:hAnsi="宋体" w:cs="Arial"/>
          <w:color w:val="auto"/>
          <w:szCs w:val="21"/>
          <w:highlight w:val="none"/>
        </w:rPr>
        <w:t>时，</w:t>
      </w:r>
      <w:r>
        <w:rPr>
          <w:rFonts w:hint="eastAsia"/>
          <w:color w:val="auto"/>
          <w:spacing w:val="-12"/>
          <w:szCs w:val="21"/>
          <w:highlight w:val="none"/>
        </w:rPr>
        <w:t>地点为</w:t>
      </w:r>
      <w:r>
        <w:rPr>
          <w:rFonts w:hint="eastAsia"/>
          <w:color w:val="auto"/>
          <w:spacing w:val="-12"/>
          <w:szCs w:val="21"/>
          <w:highlight w:val="none"/>
          <w:u w:val="single"/>
        </w:rPr>
        <w:t>绍兴市公共资源交</w:t>
      </w:r>
      <w:r>
        <w:rPr>
          <w:rFonts w:hint="eastAsia" w:ascii="宋体" w:hAnsi="宋体" w:cs="Arial"/>
          <w:color w:val="auto"/>
          <w:szCs w:val="21"/>
          <w:highlight w:val="none"/>
          <w:u w:val="single"/>
        </w:rPr>
        <w:t>易中心四楼指定的开标室。</w:t>
      </w:r>
    </w:p>
    <w:p>
      <w:pPr>
        <w:pStyle w:val="25"/>
        <w:shd w:val="clear" w:color="auto" w:fill="FFFFFF"/>
        <w:spacing w:before="0" w:beforeAutospacing="0" w:after="0" w:afterAutospacing="0" w:line="360" w:lineRule="exact"/>
        <w:rPr>
          <w:rFonts w:ascii="宋体" w:hAnsi="宋体" w:cs="仿宋"/>
          <w:color w:val="auto"/>
          <w:sz w:val="21"/>
          <w:szCs w:val="21"/>
          <w:highlight w:val="none"/>
        </w:rPr>
      </w:pPr>
      <w:r>
        <w:rPr>
          <w:rFonts w:ascii="宋体" w:hAnsi="宋体" w:cs="仿宋"/>
          <w:color w:val="auto"/>
          <w:sz w:val="21"/>
          <w:szCs w:val="21"/>
          <w:highlight w:val="none"/>
        </w:rPr>
        <w:t>6.5</w:t>
      </w:r>
      <w:r>
        <w:rPr>
          <w:rFonts w:hint="eastAsia" w:ascii="宋体" w:hAnsi="宋体" w:cs="仿宋"/>
          <w:color w:val="auto"/>
          <w:sz w:val="21"/>
          <w:szCs w:val="21"/>
          <w:highlight w:val="none"/>
        </w:rPr>
        <w:t>本项目采用“不见面”开标方式，不强制要求投标人参加现场开标会。</w:t>
      </w:r>
    </w:p>
    <w:p>
      <w:pPr>
        <w:pStyle w:val="25"/>
        <w:shd w:val="clear" w:color="auto" w:fill="FFFFFF"/>
        <w:spacing w:before="0" w:beforeAutospacing="0" w:after="0" w:afterAutospacing="0" w:line="360" w:lineRule="exact"/>
        <w:rPr>
          <w:rFonts w:ascii="宋体" w:hAnsi="宋体" w:cs="仿宋"/>
          <w:color w:val="auto"/>
          <w:sz w:val="21"/>
          <w:szCs w:val="21"/>
          <w:highlight w:val="none"/>
        </w:rPr>
      </w:pPr>
      <w:r>
        <w:rPr>
          <w:rFonts w:ascii="宋体" w:hAnsi="宋体" w:eastAsia="微软雅黑" w:cs="仿宋"/>
          <w:color w:val="auto"/>
          <w:sz w:val="21"/>
          <w:szCs w:val="21"/>
          <w:highlight w:val="none"/>
          <w:u w:val="single"/>
          <w:shd w:val="clear" w:color="auto" w:fill="FFFFFF"/>
        </w:rPr>
        <w:t>6.6</w:t>
      </w:r>
      <w:r>
        <w:rPr>
          <w:rFonts w:hint="eastAsia" w:ascii="宋体" w:hAnsi="宋体" w:cs="仿宋"/>
          <w:color w:val="auto"/>
          <w:sz w:val="21"/>
          <w:szCs w:val="21"/>
          <w:highlight w:val="none"/>
          <w:u w:val="single"/>
          <w:shd w:val="clear" w:color="auto" w:fill="FFFFFF"/>
        </w:rPr>
        <w:t>本项目资格预审文件和招标文件发布截止时间、递交资格预审申请文件截止时间、投标截止时间、有关公示（公告）截止时间、投诉有效期截止时间如遇国家法定休假日的，则自动顺延至法定休假日后第</w:t>
      </w:r>
      <w:r>
        <w:rPr>
          <w:rFonts w:ascii="宋体" w:hAnsi="宋体" w:eastAsia="微软雅黑" w:cs="仿宋"/>
          <w:color w:val="auto"/>
          <w:sz w:val="21"/>
          <w:szCs w:val="21"/>
          <w:highlight w:val="none"/>
          <w:u w:val="single"/>
          <w:shd w:val="clear" w:color="auto" w:fill="FFFFFF"/>
        </w:rPr>
        <w:t>1</w:t>
      </w:r>
      <w:r>
        <w:rPr>
          <w:rFonts w:hint="eastAsia" w:ascii="宋体" w:hAnsi="宋体" w:cs="仿宋"/>
          <w:color w:val="auto"/>
          <w:sz w:val="21"/>
          <w:szCs w:val="21"/>
          <w:highlight w:val="none"/>
          <w:u w:val="single"/>
          <w:shd w:val="clear" w:color="auto" w:fill="FFFFFF"/>
        </w:rPr>
        <w:t>个工作日。</w:t>
      </w:r>
    </w:p>
    <w:p>
      <w:pPr>
        <w:widowControl/>
        <w:spacing w:line="360" w:lineRule="exact"/>
        <w:rPr>
          <w:rFonts w:ascii="宋体" w:hAnsi="宋体" w:cs="Arial"/>
          <w:color w:val="auto"/>
          <w:szCs w:val="21"/>
          <w:highlight w:val="none"/>
        </w:rPr>
      </w:pPr>
      <w:r>
        <w:rPr>
          <w:rFonts w:hint="eastAsia" w:ascii="宋体" w:hAnsi="宋体" w:cs="Arial"/>
          <w:color w:val="auto"/>
          <w:szCs w:val="21"/>
          <w:highlight w:val="none"/>
        </w:rPr>
        <w:t xml:space="preserve">7.发布公告的媒介    </w:t>
      </w:r>
    </w:p>
    <w:p>
      <w:pPr>
        <w:widowControl/>
        <w:spacing w:line="360" w:lineRule="exact"/>
        <w:ind w:firstLine="420" w:firstLineChars="200"/>
        <w:rPr>
          <w:rFonts w:ascii="宋体" w:hAnsi="宋体" w:cs="Arial"/>
          <w:color w:val="auto"/>
          <w:szCs w:val="21"/>
          <w:highlight w:val="none"/>
        </w:rPr>
      </w:pPr>
      <w:r>
        <w:rPr>
          <w:rFonts w:ascii="宋体" w:hAnsi="宋体" w:cs="Arial"/>
          <w:color w:val="auto"/>
          <w:szCs w:val="21"/>
          <w:highlight w:val="none"/>
        </w:rPr>
        <w:t xml:space="preserve">本次招标公告同时在 </w:t>
      </w:r>
      <w:r>
        <w:rPr>
          <w:rFonts w:ascii="宋体" w:hAnsi="宋体" w:cs="宋体"/>
          <w:i/>
          <w:color w:val="auto"/>
          <w:szCs w:val="21"/>
          <w:highlight w:val="none"/>
          <w:u w:val="single"/>
        </w:rPr>
        <w:t xml:space="preserve"> </w:t>
      </w:r>
      <w:r>
        <w:rPr>
          <w:rFonts w:hint="eastAsia" w:ascii="宋体" w:hAnsi="宋体" w:cs="宋体"/>
          <w:i/>
          <w:color w:val="auto"/>
          <w:szCs w:val="21"/>
          <w:highlight w:val="none"/>
          <w:u w:val="single"/>
        </w:rPr>
        <w:t xml:space="preserve">   </w:t>
      </w:r>
      <w:r>
        <w:rPr>
          <w:rFonts w:hint="eastAsia" w:ascii="宋体" w:hAnsi="宋体" w:cs="宋体"/>
          <w:color w:val="auto"/>
          <w:szCs w:val="21"/>
          <w:highlight w:val="none"/>
          <w:u w:val="single"/>
        </w:rPr>
        <w:t xml:space="preserve">/ </w:t>
      </w:r>
      <w:r>
        <w:rPr>
          <w:rFonts w:hint="eastAsia" w:ascii="宋体" w:hAnsi="宋体" w:cs="宋体"/>
          <w:i/>
          <w:color w:val="auto"/>
          <w:szCs w:val="21"/>
          <w:highlight w:val="none"/>
          <w:u w:val="single"/>
        </w:rPr>
        <w:t xml:space="preserve"> </w:t>
      </w:r>
      <w:r>
        <w:rPr>
          <w:rFonts w:ascii="宋体" w:hAnsi="宋体" w:cs="宋体"/>
          <w:i/>
          <w:color w:val="auto"/>
          <w:szCs w:val="21"/>
          <w:highlight w:val="none"/>
          <w:u w:val="single"/>
        </w:rPr>
        <w:t xml:space="preserve"> </w:t>
      </w:r>
      <w:r>
        <w:rPr>
          <w:rFonts w:ascii="宋体" w:hAnsi="宋体" w:cs="Arial"/>
          <w:color w:val="auto"/>
          <w:szCs w:val="21"/>
          <w:highlight w:val="none"/>
          <w:u w:val="single"/>
        </w:rPr>
        <w:t xml:space="preserve">  </w:t>
      </w:r>
      <w:r>
        <w:rPr>
          <w:rFonts w:ascii="宋体" w:hAnsi="宋体" w:cs="Arial"/>
          <w:color w:val="auto"/>
          <w:szCs w:val="21"/>
          <w:highlight w:val="none"/>
        </w:rPr>
        <w:t>（发布公告的媒介名称）上发布。</w:t>
      </w:r>
    </w:p>
    <w:p>
      <w:pPr>
        <w:widowControl/>
        <w:spacing w:line="360" w:lineRule="exact"/>
        <w:rPr>
          <w:rFonts w:ascii="宋体" w:hAnsi="宋体" w:cs="Arial"/>
          <w:b/>
          <w:color w:val="auto"/>
          <w:szCs w:val="21"/>
          <w:highlight w:val="none"/>
        </w:rPr>
      </w:pPr>
      <w:r>
        <w:rPr>
          <w:rFonts w:hint="eastAsia" w:ascii="宋体" w:hAnsi="宋体" w:cs="Arial"/>
          <w:b/>
          <w:color w:val="auto"/>
          <w:szCs w:val="21"/>
          <w:highlight w:val="none"/>
        </w:rPr>
        <w:t>8.</w:t>
      </w:r>
      <w:r>
        <w:rPr>
          <w:rFonts w:ascii="宋体" w:hAnsi="宋体" w:cs="Arial"/>
          <w:b/>
          <w:color w:val="auto"/>
          <w:szCs w:val="21"/>
          <w:highlight w:val="none"/>
        </w:rPr>
        <w:t>若本公告相关内容与正式发出的招标文件不一致，以正式发出的招标文件为准。</w:t>
      </w:r>
    </w:p>
    <w:p>
      <w:pPr>
        <w:widowControl/>
        <w:tabs>
          <w:tab w:val="left" w:pos="2694"/>
        </w:tabs>
        <w:spacing w:line="360" w:lineRule="exact"/>
        <w:rPr>
          <w:rFonts w:ascii="宋体" w:hAnsi="宋体" w:cs="Arial"/>
          <w:color w:val="auto"/>
          <w:szCs w:val="21"/>
          <w:highlight w:val="none"/>
        </w:rPr>
      </w:pPr>
      <w:r>
        <w:rPr>
          <w:rFonts w:hint="eastAsia" w:ascii="宋体" w:hAnsi="宋体" w:cs="Arial"/>
          <w:color w:val="auto"/>
          <w:szCs w:val="21"/>
          <w:highlight w:val="none"/>
        </w:rPr>
        <w:t xml:space="preserve">9.联系方式 </w:t>
      </w:r>
    </w:p>
    <w:p>
      <w:pPr>
        <w:widowControl/>
        <w:tabs>
          <w:tab w:val="left" w:pos="2694"/>
        </w:tabs>
        <w:spacing w:line="360" w:lineRule="exact"/>
        <w:rPr>
          <w:rFonts w:ascii="宋体" w:hAnsi="宋体" w:cs="Arial"/>
          <w:color w:val="auto"/>
          <w:szCs w:val="21"/>
          <w:highlight w:val="none"/>
        </w:rPr>
      </w:pPr>
      <w:r>
        <w:rPr>
          <w:rFonts w:ascii="宋体" w:hAnsi="宋体" w:cs="Arial"/>
          <w:color w:val="auto"/>
          <w:szCs w:val="21"/>
          <w:highlight w:val="none"/>
        </w:rPr>
        <w:t>招标人：</w:t>
      </w:r>
      <w:r>
        <w:rPr>
          <w:rFonts w:hint="eastAsia" w:ascii="宋体" w:hAnsi="宋体" w:cs="宋体"/>
          <w:color w:val="auto"/>
          <w:szCs w:val="21"/>
          <w:highlight w:val="none"/>
          <w:u w:val="single"/>
        </w:rPr>
        <w:t>浙江精工钢结构集团有限公司</w:t>
      </w:r>
      <w:r>
        <w:rPr>
          <w:rFonts w:hint="eastAsia" w:ascii="宋体" w:hAnsi="宋体" w:cs="Arial"/>
          <w:b/>
          <w:i/>
          <w:color w:val="auto"/>
          <w:szCs w:val="21"/>
          <w:highlight w:val="none"/>
        </w:rPr>
        <w:t xml:space="preserve">         </w:t>
      </w:r>
      <w:r>
        <w:rPr>
          <w:rFonts w:ascii="宋体" w:hAnsi="宋体" w:cs="Arial"/>
          <w:color w:val="auto"/>
          <w:szCs w:val="21"/>
          <w:highlight w:val="none"/>
        </w:rPr>
        <w:t>招标代理机构：</w:t>
      </w:r>
      <w:r>
        <w:rPr>
          <w:rFonts w:hint="eastAsia" w:ascii="宋体" w:hAnsi="宋体" w:cs="宋体"/>
          <w:color w:val="auto"/>
          <w:szCs w:val="21"/>
          <w:highlight w:val="none"/>
          <w:u w:val="single"/>
        </w:rPr>
        <w:t>浙江明业项目管理有限公司</w:t>
      </w:r>
    </w:p>
    <w:p>
      <w:pPr>
        <w:widowControl/>
        <w:tabs>
          <w:tab w:val="left" w:pos="2694"/>
        </w:tabs>
        <w:spacing w:line="360" w:lineRule="exact"/>
        <w:rPr>
          <w:rFonts w:ascii="宋体" w:hAnsi="宋体" w:cs="Arial"/>
          <w:color w:val="auto"/>
          <w:szCs w:val="21"/>
          <w:highlight w:val="none"/>
        </w:rPr>
      </w:pPr>
      <w:r>
        <w:rPr>
          <w:rFonts w:ascii="宋体" w:hAnsi="宋体" w:cs="Arial"/>
          <w:color w:val="auto"/>
          <w:szCs w:val="21"/>
          <w:highlight w:val="none"/>
        </w:rPr>
        <w:t>地  址：</w:t>
      </w:r>
      <w:r>
        <w:rPr>
          <w:rFonts w:hint="eastAsia" w:ascii="宋体" w:hAnsi="宋体" w:cs="宋体"/>
          <w:color w:val="auto"/>
          <w:szCs w:val="21"/>
          <w:highlight w:val="none"/>
          <w:u w:val="single"/>
        </w:rPr>
        <w:t>绍兴市柯桥区柯桥经济开发区鉴湖路</w:t>
      </w:r>
      <w:r>
        <w:rPr>
          <w:rFonts w:hint="eastAsia" w:ascii="宋体" w:hAnsi="宋体" w:cs="Arial"/>
          <w:color w:val="auto"/>
          <w:szCs w:val="21"/>
          <w:highlight w:val="none"/>
        </w:rPr>
        <w:t xml:space="preserve">   </w:t>
      </w:r>
      <w:r>
        <w:rPr>
          <w:rFonts w:ascii="宋体" w:hAnsi="宋体" w:cs="Arial"/>
          <w:color w:val="auto"/>
          <w:szCs w:val="21"/>
          <w:highlight w:val="none"/>
        </w:rPr>
        <w:t>地 址：</w:t>
      </w:r>
      <w:r>
        <w:rPr>
          <w:rFonts w:hint="eastAsia" w:ascii="宋体" w:hAnsi="宋体" w:cs="宋体"/>
          <w:color w:val="auto"/>
          <w:szCs w:val="21"/>
          <w:highlight w:val="none"/>
          <w:u w:val="single"/>
        </w:rPr>
        <w:t>绍兴市解放大道111号中石化大楼7楼</w:t>
      </w:r>
    </w:p>
    <w:p>
      <w:pPr>
        <w:widowControl/>
        <w:tabs>
          <w:tab w:val="left" w:pos="2694"/>
        </w:tabs>
        <w:spacing w:line="360" w:lineRule="exact"/>
        <w:rPr>
          <w:rFonts w:ascii="宋体" w:hAnsi="宋体" w:cs="Arial"/>
          <w:color w:val="auto"/>
          <w:szCs w:val="21"/>
          <w:highlight w:val="none"/>
        </w:rPr>
      </w:pPr>
      <w:r>
        <w:rPr>
          <w:rFonts w:ascii="宋体" w:hAnsi="宋体" w:cs="Arial"/>
          <w:color w:val="auto"/>
          <w:szCs w:val="21"/>
          <w:highlight w:val="none"/>
        </w:rPr>
        <w:t xml:space="preserve">联系人： </w:t>
      </w:r>
      <w:r>
        <w:rPr>
          <w:rFonts w:ascii="宋体" w:hAnsi="宋体" w:cs="Arial"/>
          <w:color w:val="auto"/>
          <w:szCs w:val="21"/>
          <w:highlight w:val="none"/>
          <w:u w:val="single"/>
        </w:rPr>
        <w:t xml:space="preserve">   </w:t>
      </w:r>
      <w:r>
        <w:rPr>
          <w:rFonts w:hint="eastAsia" w:ascii="宋体" w:hAnsi="宋体" w:cs="宋体"/>
          <w:color w:val="auto"/>
          <w:szCs w:val="21"/>
          <w:highlight w:val="none"/>
          <w:u w:val="single"/>
        </w:rPr>
        <w:t xml:space="preserve">王晓文   </w:t>
      </w:r>
      <w:r>
        <w:rPr>
          <w:rFonts w:ascii="宋体" w:hAnsi="宋体" w:cs="Arial"/>
          <w:color w:val="auto"/>
          <w:szCs w:val="21"/>
          <w:highlight w:val="none"/>
          <w:u w:val="single"/>
        </w:rPr>
        <w:t xml:space="preserve">    </w:t>
      </w:r>
      <w:r>
        <w:rPr>
          <w:rFonts w:hint="eastAsia" w:ascii="宋体" w:hAnsi="宋体" w:cs="Arial"/>
          <w:color w:val="auto"/>
          <w:szCs w:val="21"/>
          <w:highlight w:val="none"/>
          <w:u w:val="single"/>
        </w:rPr>
        <w:t xml:space="preserve"> </w:t>
      </w:r>
      <w:r>
        <w:rPr>
          <w:rFonts w:hint="eastAsia" w:ascii="宋体" w:hAnsi="宋体" w:cs="Arial"/>
          <w:color w:val="auto"/>
          <w:szCs w:val="21"/>
          <w:highlight w:val="none"/>
        </w:rPr>
        <w:t xml:space="preserve">                 </w:t>
      </w:r>
      <w:r>
        <w:rPr>
          <w:rFonts w:ascii="宋体" w:hAnsi="宋体" w:cs="Arial"/>
          <w:color w:val="auto"/>
          <w:szCs w:val="21"/>
          <w:highlight w:val="none"/>
        </w:rPr>
        <w:t>联 系 人：</w:t>
      </w:r>
      <w:r>
        <w:rPr>
          <w:rFonts w:ascii="宋体" w:hAnsi="宋体" w:cs="Arial"/>
          <w:color w:val="auto"/>
          <w:szCs w:val="21"/>
          <w:highlight w:val="none"/>
          <w:u w:val="single"/>
        </w:rPr>
        <w:t xml:space="preserve">  </w:t>
      </w:r>
      <w:r>
        <w:rPr>
          <w:rFonts w:hint="eastAsia" w:ascii="宋体" w:hAnsi="宋体" w:cs="Arial"/>
          <w:color w:val="auto"/>
          <w:szCs w:val="21"/>
          <w:highlight w:val="none"/>
          <w:u w:val="single"/>
        </w:rPr>
        <w:t>张雅美</w:t>
      </w:r>
    </w:p>
    <w:p>
      <w:pPr>
        <w:widowControl/>
        <w:spacing w:line="360" w:lineRule="exact"/>
        <w:rPr>
          <w:rFonts w:ascii="宋体" w:hAnsi="宋体" w:cs="宋体"/>
          <w:color w:val="auto"/>
          <w:szCs w:val="21"/>
          <w:highlight w:val="none"/>
          <w:u w:val="single"/>
        </w:rPr>
      </w:pPr>
      <w:r>
        <w:rPr>
          <w:rFonts w:ascii="宋体" w:hAnsi="宋体" w:cs="Arial"/>
          <w:color w:val="auto"/>
          <w:szCs w:val="21"/>
          <w:highlight w:val="none"/>
        </w:rPr>
        <w:t>电  话：</w:t>
      </w:r>
      <w:r>
        <w:rPr>
          <w:rFonts w:ascii="宋体" w:hAnsi="宋体" w:cs="Arial"/>
          <w:color w:val="auto"/>
          <w:szCs w:val="21"/>
          <w:highlight w:val="none"/>
          <w:u w:val="single"/>
        </w:rPr>
        <w:t xml:space="preserve"> </w:t>
      </w:r>
      <w:r>
        <w:rPr>
          <w:rFonts w:hint="eastAsia" w:ascii="宋体" w:hAnsi="宋体" w:cs="宋体"/>
          <w:color w:val="auto"/>
          <w:szCs w:val="21"/>
          <w:highlight w:val="none"/>
          <w:u w:val="single"/>
        </w:rPr>
        <w:t xml:space="preserve">  13971064493   </w:t>
      </w:r>
      <w:r>
        <w:rPr>
          <w:rFonts w:hint="eastAsia" w:ascii="宋体" w:hAnsi="宋体"/>
          <w:i/>
          <w:color w:val="auto"/>
          <w:szCs w:val="21"/>
          <w:highlight w:val="none"/>
          <w:u w:val="single"/>
        </w:rPr>
        <w:t xml:space="preserve">      </w:t>
      </w:r>
      <w:r>
        <w:rPr>
          <w:rFonts w:hint="eastAsia" w:ascii="宋体" w:hAnsi="宋体" w:cs="宋体"/>
          <w:i/>
          <w:color w:val="auto"/>
          <w:szCs w:val="21"/>
          <w:highlight w:val="none"/>
          <w:u w:val="single"/>
        </w:rPr>
        <w:t xml:space="preserve">   </w:t>
      </w:r>
      <w:r>
        <w:rPr>
          <w:rFonts w:ascii="宋体" w:hAnsi="宋体" w:cs="Arial"/>
          <w:color w:val="auto"/>
          <w:szCs w:val="21"/>
          <w:highlight w:val="none"/>
        </w:rPr>
        <w:t xml:space="preserve"> </w:t>
      </w:r>
      <w:r>
        <w:rPr>
          <w:rFonts w:hint="eastAsia" w:ascii="宋体" w:hAnsi="宋体" w:cs="Arial"/>
          <w:color w:val="auto"/>
          <w:szCs w:val="21"/>
          <w:highlight w:val="none"/>
        </w:rPr>
        <w:t xml:space="preserve">        </w:t>
      </w:r>
      <w:r>
        <w:rPr>
          <w:rFonts w:ascii="宋体" w:hAnsi="宋体" w:cs="Arial"/>
          <w:color w:val="auto"/>
          <w:szCs w:val="21"/>
          <w:highlight w:val="none"/>
        </w:rPr>
        <w:t>电    话：</w:t>
      </w:r>
      <w:r>
        <w:rPr>
          <w:rFonts w:ascii="宋体" w:hAnsi="宋体" w:cs="Arial"/>
          <w:color w:val="auto"/>
          <w:szCs w:val="21"/>
          <w:highlight w:val="none"/>
          <w:u w:val="single"/>
        </w:rPr>
        <w:t xml:space="preserve"> </w:t>
      </w:r>
      <w:r>
        <w:rPr>
          <w:rFonts w:ascii="宋体" w:hAnsi="宋体" w:cs="宋体"/>
          <w:color w:val="auto"/>
          <w:szCs w:val="21"/>
          <w:highlight w:val="none"/>
          <w:u w:val="single"/>
        </w:rPr>
        <w:t>0575-85209901</w:t>
      </w:r>
      <w:r>
        <w:rPr>
          <w:rFonts w:hint="eastAsia" w:ascii="宋体" w:hAnsi="宋体" w:cs="宋体"/>
          <w:color w:val="auto"/>
          <w:szCs w:val="21"/>
          <w:highlight w:val="none"/>
          <w:u w:val="single"/>
        </w:rPr>
        <w:t xml:space="preserve">、13957571013    </w:t>
      </w:r>
    </w:p>
    <w:p>
      <w:pPr>
        <w:widowControl/>
        <w:spacing w:line="400" w:lineRule="exact"/>
        <w:rPr>
          <w:rFonts w:ascii="宋体" w:hAnsi="宋体" w:cs="宋体"/>
          <w:b/>
          <w:color w:val="auto"/>
          <w:szCs w:val="21"/>
          <w:highlight w:val="none"/>
          <w:u w:val="single"/>
        </w:rPr>
      </w:pPr>
    </w:p>
    <w:p>
      <w:pPr>
        <w:widowControl/>
        <w:spacing w:line="400" w:lineRule="exact"/>
        <w:rPr>
          <w:rFonts w:ascii="宋体" w:hAnsi="宋体" w:cs="Arial"/>
          <w:color w:val="auto"/>
          <w:szCs w:val="21"/>
          <w:highlight w:val="none"/>
        </w:rPr>
      </w:pPr>
    </w:p>
    <w:p>
      <w:pPr>
        <w:widowControl/>
        <w:spacing w:line="400" w:lineRule="exact"/>
        <w:ind w:left="4139" w:leftChars="1971"/>
        <w:jc w:val="right"/>
        <w:rPr>
          <w:rFonts w:ascii="宋体" w:hAnsi="宋体" w:cs="Arial"/>
          <w:b/>
          <w:i/>
          <w:color w:val="auto"/>
          <w:szCs w:val="21"/>
          <w:highlight w:val="none"/>
          <w:u w:val="single"/>
        </w:rPr>
      </w:pPr>
      <w:r>
        <w:rPr>
          <w:rFonts w:ascii="宋体" w:hAnsi="宋体" w:cs="Arial"/>
          <w:color w:val="auto"/>
          <w:szCs w:val="21"/>
          <w:highlight w:val="none"/>
        </w:rPr>
        <w:t>招标人：</w:t>
      </w:r>
      <w:r>
        <w:rPr>
          <w:rFonts w:hint="eastAsia"/>
          <w:color w:val="auto"/>
          <w:szCs w:val="21"/>
          <w:highlight w:val="none"/>
          <w:u w:val="single"/>
        </w:rPr>
        <w:t>浙江精工钢结构集团有限公司</w:t>
      </w:r>
    </w:p>
    <w:p>
      <w:pPr>
        <w:widowControl/>
        <w:spacing w:line="400" w:lineRule="exact"/>
        <w:ind w:left="4139" w:leftChars="1971"/>
        <w:jc w:val="right"/>
        <w:rPr>
          <w:rFonts w:ascii="宋体" w:hAnsi="宋体" w:cs="Arial"/>
          <w:color w:val="auto"/>
          <w:szCs w:val="21"/>
          <w:highlight w:val="none"/>
        </w:rPr>
      </w:pPr>
      <w:r>
        <w:rPr>
          <w:rFonts w:ascii="宋体" w:hAnsi="宋体" w:cs="Arial"/>
          <w:color w:val="auto"/>
          <w:szCs w:val="21"/>
          <w:highlight w:val="none"/>
        </w:rPr>
        <w:t>招标代理机构：</w:t>
      </w:r>
      <w:r>
        <w:rPr>
          <w:rFonts w:hint="eastAsia" w:ascii="宋体" w:hAnsi="宋体" w:cs="宋体"/>
          <w:color w:val="auto"/>
          <w:szCs w:val="21"/>
          <w:highlight w:val="none"/>
          <w:u w:val="single"/>
        </w:rPr>
        <w:t>浙江明业项目管理有限公司</w:t>
      </w:r>
    </w:p>
    <w:p>
      <w:pPr>
        <w:widowControl/>
        <w:tabs>
          <w:tab w:val="left" w:pos="2694"/>
        </w:tabs>
        <w:spacing w:line="340" w:lineRule="exact"/>
        <w:ind w:right="-134" w:rightChars="-64"/>
        <w:jc w:val="right"/>
        <w:rPr>
          <w:rFonts w:ascii="宋体" w:hAnsi="宋体" w:cs="Arial"/>
          <w:color w:val="auto"/>
          <w:szCs w:val="21"/>
          <w:highlight w:val="none"/>
        </w:rPr>
      </w:pPr>
      <w:r>
        <w:rPr>
          <w:rFonts w:hint="eastAsia" w:ascii="宋体" w:hAnsi="宋体" w:cs="Arial"/>
          <w:color w:val="auto"/>
          <w:szCs w:val="21"/>
          <w:highlight w:val="none"/>
          <w:u w:val="single"/>
        </w:rPr>
        <w:t>2022</w:t>
      </w:r>
      <w:r>
        <w:rPr>
          <w:rFonts w:ascii="宋体" w:hAnsi="宋体" w:cs="Arial"/>
          <w:color w:val="auto"/>
          <w:szCs w:val="21"/>
          <w:highlight w:val="none"/>
        </w:rPr>
        <w:t>年</w:t>
      </w:r>
      <w:r>
        <w:rPr>
          <w:rFonts w:hint="eastAsia" w:ascii="宋体" w:hAnsi="宋体" w:cs="Arial"/>
          <w:color w:val="auto"/>
          <w:szCs w:val="21"/>
          <w:highlight w:val="none"/>
          <w:u w:val="single"/>
        </w:rPr>
        <w:t xml:space="preserve"> </w:t>
      </w:r>
      <w:r>
        <w:rPr>
          <w:rFonts w:hint="eastAsia" w:ascii="宋体" w:hAnsi="宋体" w:cs="宋体"/>
          <w:i/>
          <w:color w:val="auto"/>
          <w:szCs w:val="21"/>
          <w:highlight w:val="none"/>
          <w:u w:val="single"/>
        </w:rPr>
        <w:t xml:space="preserve">   </w:t>
      </w:r>
      <w:r>
        <w:rPr>
          <w:rFonts w:ascii="宋体" w:hAnsi="宋体" w:cs="Arial"/>
          <w:color w:val="auto"/>
          <w:szCs w:val="21"/>
          <w:highlight w:val="none"/>
        </w:rPr>
        <w:t>月</w:t>
      </w:r>
      <w:r>
        <w:rPr>
          <w:rFonts w:hint="eastAsia" w:ascii="宋体" w:hAnsi="宋体" w:cs="Arial"/>
          <w:color w:val="auto"/>
          <w:szCs w:val="21"/>
          <w:highlight w:val="none"/>
          <w:u w:val="single"/>
        </w:rPr>
        <w:t xml:space="preserve">    </w:t>
      </w:r>
      <w:r>
        <w:rPr>
          <w:rFonts w:ascii="宋体" w:hAnsi="宋体" w:cs="Arial"/>
          <w:color w:val="auto"/>
          <w:szCs w:val="21"/>
          <w:highlight w:val="none"/>
        </w:rPr>
        <w:t>日</w:t>
      </w:r>
    </w:p>
    <w:p>
      <w:pPr>
        <w:widowControl/>
        <w:spacing w:line="360" w:lineRule="exact"/>
        <w:jc w:val="right"/>
        <w:rPr>
          <w:rFonts w:ascii="宋体" w:hAnsi="宋体" w:cs="Arial"/>
          <w:color w:val="auto"/>
          <w:szCs w:val="21"/>
          <w:highlight w:val="none"/>
        </w:rPr>
      </w:pPr>
    </w:p>
    <w:p>
      <w:pPr>
        <w:widowControl/>
        <w:spacing w:line="360" w:lineRule="exact"/>
        <w:rPr>
          <w:rFonts w:ascii="宋体" w:hAnsi="宋体" w:cs="Arial"/>
          <w:color w:val="auto"/>
          <w:szCs w:val="21"/>
          <w:highlight w:val="none"/>
        </w:rPr>
      </w:pPr>
    </w:p>
    <w:p>
      <w:pPr>
        <w:widowControl/>
        <w:spacing w:line="360" w:lineRule="exact"/>
        <w:rPr>
          <w:rFonts w:ascii="宋体" w:hAnsi="宋体" w:cs="Arial"/>
          <w:color w:val="auto"/>
          <w:szCs w:val="21"/>
          <w:highlight w:val="none"/>
        </w:rPr>
      </w:pPr>
    </w:p>
    <w:p>
      <w:pPr>
        <w:widowControl/>
        <w:spacing w:line="360" w:lineRule="exact"/>
        <w:rPr>
          <w:rFonts w:ascii="宋体" w:hAnsi="宋体" w:cs="Arial"/>
          <w:color w:val="auto"/>
          <w:szCs w:val="21"/>
          <w:highlight w:val="none"/>
          <w:u w:val="single"/>
        </w:rPr>
      </w:pPr>
      <w:r>
        <w:rPr>
          <w:rFonts w:hint="eastAsia" w:ascii="宋体" w:hAnsi="宋体" w:cs="Arial"/>
          <w:color w:val="auto"/>
          <w:szCs w:val="21"/>
          <w:highlight w:val="none"/>
        </w:rPr>
        <w:t>招标管理机构意见：                           绍兴市公共资源交易中心意见：</w:t>
      </w:r>
    </w:p>
    <w:p>
      <w:pPr>
        <w:widowControl/>
        <w:spacing w:line="360" w:lineRule="exact"/>
        <w:ind w:firstLine="210" w:firstLineChars="100"/>
        <w:rPr>
          <w:rFonts w:ascii="宋体" w:hAnsi="宋体" w:cs="Arial"/>
          <w:color w:val="auto"/>
          <w:szCs w:val="21"/>
          <w:highlight w:val="none"/>
        </w:rPr>
      </w:pPr>
      <w:r>
        <w:rPr>
          <w:rFonts w:hint="eastAsia" w:ascii="宋体" w:hAnsi="宋体" w:cs="Arial"/>
          <w:color w:val="auto"/>
          <w:szCs w:val="21"/>
          <w:highlight w:val="none"/>
          <w:u w:val="single"/>
        </w:rPr>
        <w:t xml:space="preserve">      </w:t>
      </w:r>
      <w:r>
        <w:rPr>
          <w:rFonts w:ascii="宋体" w:hAnsi="宋体" w:cs="Arial"/>
          <w:color w:val="auto"/>
          <w:szCs w:val="21"/>
          <w:highlight w:val="none"/>
        </w:rPr>
        <w:t>年</w:t>
      </w:r>
      <w:r>
        <w:rPr>
          <w:rFonts w:hint="eastAsia" w:ascii="宋体" w:hAnsi="宋体" w:cs="Arial"/>
          <w:color w:val="auto"/>
          <w:szCs w:val="21"/>
          <w:highlight w:val="none"/>
          <w:u w:val="single"/>
        </w:rPr>
        <w:t xml:space="preserve">    </w:t>
      </w:r>
      <w:r>
        <w:rPr>
          <w:rFonts w:ascii="宋体" w:hAnsi="宋体" w:cs="Arial"/>
          <w:color w:val="auto"/>
          <w:szCs w:val="21"/>
          <w:highlight w:val="none"/>
        </w:rPr>
        <w:t>月</w:t>
      </w:r>
      <w:r>
        <w:rPr>
          <w:rFonts w:hint="eastAsia" w:ascii="宋体" w:hAnsi="宋体" w:cs="Arial"/>
          <w:color w:val="auto"/>
          <w:szCs w:val="21"/>
          <w:highlight w:val="none"/>
          <w:u w:val="single"/>
        </w:rPr>
        <w:t xml:space="preserve">    </w:t>
      </w:r>
      <w:r>
        <w:rPr>
          <w:rFonts w:ascii="宋体" w:hAnsi="宋体" w:cs="Arial"/>
          <w:color w:val="auto"/>
          <w:szCs w:val="21"/>
          <w:highlight w:val="none"/>
        </w:rPr>
        <w:t>日</w:t>
      </w:r>
      <w:r>
        <w:rPr>
          <w:rFonts w:hint="eastAsia" w:ascii="宋体" w:hAnsi="宋体" w:cs="Arial"/>
          <w:color w:val="auto"/>
          <w:szCs w:val="21"/>
          <w:highlight w:val="none"/>
        </w:rPr>
        <w:t xml:space="preserve">                          </w:t>
      </w:r>
      <w:r>
        <w:rPr>
          <w:rFonts w:hint="eastAsia" w:ascii="宋体" w:hAnsi="宋体" w:cs="Arial"/>
          <w:i/>
          <w:color w:val="auto"/>
          <w:szCs w:val="21"/>
          <w:highlight w:val="none"/>
          <w:u w:val="single"/>
        </w:rPr>
        <w:t xml:space="preserve">      </w:t>
      </w:r>
      <w:r>
        <w:rPr>
          <w:rFonts w:ascii="宋体" w:hAnsi="宋体" w:cs="Arial"/>
          <w:color w:val="auto"/>
          <w:szCs w:val="21"/>
          <w:highlight w:val="none"/>
        </w:rPr>
        <w:t>年</w:t>
      </w:r>
      <w:r>
        <w:rPr>
          <w:rFonts w:hint="eastAsia" w:ascii="宋体" w:hAnsi="宋体" w:cs="Arial"/>
          <w:color w:val="auto"/>
          <w:szCs w:val="21"/>
          <w:highlight w:val="none"/>
          <w:u w:val="single"/>
        </w:rPr>
        <w:t xml:space="preserve">    </w:t>
      </w:r>
      <w:r>
        <w:rPr>
          <w:rFonts w:ascii="宋体" w:hAnsi="宋体" w:cs="Arial"/>
          <w:color w:val="auto"/>
          <w:szCs w:val="21"/>
          <w:highlight w:val="none"/>
        </w:rPr>
        <w:t>月</w:t>
      </w:r>
      <w:r>
        <w:rPr>
          <w:rFonts w:hint="eastAsia" w:ascii="宋体" w:hAnsi="宋体" w:cs="Arial"/>
          <w:color w:val="auto"/>
          <w:szCs w:val="21"/>
          <w:highlight w:val="none"/>
          <w:u w:val="single"/>
        </w:rPr>
        <w:t xml:space="preserve">    </w:t>
      </w:r>
      <w:r>
        <w:rPr>
          <w:rFonts w:ascii="宋体" w:hAnsi="宋体" w:cs="Arial"/>
          <w:color w:val="auto"/>
          <w:szCs w:val="21"/>
          <w:highlight w:val="none"/>
        </w:rPr>
        <w:t>日</w:t>
      </w:r>
    </w:p>
    <w:p>
      <w:pPr>
        <w:widowControl/>
        <w:spacing w:line="360" w:lineRule="exact"/>
        <w:rPr>
          <w:rFonts w:ascii="宋体" w:hAnsi="宋体" w:cs="Arial"/>
          <w:color w:val="auto"/>
          <w:szCs w:val="21"/>
          <w:highlight w:val="none"/>
        </w:rPr>
      </w:pPr>
    </w:p>
    <w:p>
      <w:pPr>
        <w:widowControl/>
        <w:spacing w:line="360" w:lineRule="exact"/>
        <w:rPr>
          <w:rFonts w:ascii="宋体" w:hAnsi="宋体" w:cs="Arial"/>
          <w:color w:val="auto"/>
          <w:szCs w:val="21"/>
          <w:highlight w:val="none"/>
        </w:rPr>
      </w:pPr>
      <w:r>
        <w:rPr>
          <w:rFonts w:hint="eastAsia" w:ascii="宋体" w:hAnsi="宋体" w:cs="Arial"/>
          <w:color w:val="auto"/>
          <w:szCs w:val="21"/>
          <w:highlight w:val="none"/>
        </w:rPr>
        <w:t>备注：1、委托中介机构代理的，尚需提供工程建设项目招标代理业务承接情况表。</w:t>
      </w:r>
    </w:p>
    <w:p>
      <w:pPr>
        <w:spacing w:line="360" w:lineRule="exact"/>
        <w:ind w:firstLine="630" w:firstLineChars="300"/>
        <w:rPr>
          <w:rFonts w:ascii="宋体" w:hAnsi="宋体"/>
          <w:color w:val="auto"/>
          <w:szCs w:val="21"/>
          <w:highlight w:val="none"/>
        </w:rPr>
      </w:pPr>
      <w:r>
        <w:rPr>
          <w:rFonts w:hint="eastAsia" w:ascii="宋体" w:hAnsi="宋体"/>
          <w:color w:val="auto"/>
          <w:szCs w:val="21"/>
          <w:highlight w:val="none"/>
        </w:rPr>
        <w:t>2、本表一式三份，招标人、招投标管理机构、中心各一份。</w:t>
      </w:r>
    </w:p>
    <w:p>
      <w:pPr>
        <w:pStyle w:val="5"/>
        <w:rPr>
          <w:color w:val="auto"/>
          <w:highlight w:val="none"/>
        </w:rPr>
      </w:pPr>
      <w:r>
        <w:rPr>
          <w:rFonts w:hint="eastAsia" w:ascii="宋体" w:hAnsi="宋体"/>
          <w:color w:val="auto"/>
          <w:kern w:val="0"/>
          <w:szCs w:val="21"/>
          <w:highlight w:val="none"/>
        </w:rPr>
        <w:br w:type="page"/>
      </w:r>
      <w:bookmarkStart w:id="1" w:name="_Toc21875"/>
      <w:r>
        <w:rPr>
          <w:rFonts w:hint="eastAsia"/>
          <w:color w:val="auto"/>
          <w:highlight w:val="none"/>
        </w:rPr>
        <w:t>第二章</w:t>
      </w:r>
      <w:r>
        <w:rPr>
          <w:color w:val="auto"/>
          <w:highlight w:val="none"/>
        </w:rPr>
        <w:t xml:space="preserve"> </w:t>
      </w:r>
      <w:r>
        <w:rPr>
          <w:rFonts w:hint="eastAsia"/>
          <w:color w:val="auto"/>
          <w:highlight w:val="none"/>
        </w:rPr>
        <w:t>投标人须知</w:t>
      </w:r>
      <w:bookmarkEnd w:id="1"/>
      <w:r>
        <w:rPr>
          <w:rFonts w:hint="eastAsia"/>
          <w:color w:val="auto"/>
          <w:highlight w:val="none"/>
        </w:rPr>
        <w:t>前附表</w:t>
      </w:r>
    </w:p>
    <w:tbl>
      <w:tblPr>
        <w:tblStyle w:val="28"/>
        <w:tblW w:w="992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0"/>
        <w:gridCol w:w="1560"/>
        <w:gridCol w:w="744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b/>
                <w:bCs/>
                <w:color w:val="auto"/>
                <w:sz w:val="20"/>
                <w:szCs w:val="20"/>
                <w:highlight w:val="none"/>
              </w:rPr>
            </w:pPr>
            <w:r>
              <w:rPr>
                <w:rFonts w:hint="eastAsia" w:ascii="宋体" w:hAnsi="宋体" w:cs="宋体"/>
                <w:b/>
                <w:bCs/>
                <w:color w:val="auto"/>
                <w:sz w:val="20"/>
                <w:szCs w:val="20"/>
                <w:highlight w:val="none"/>
              </w:rPr>
              <w:t>条款号</w:t>
            </w:r>
          </w:p>
        </w:tc>
        <w:tc>
          <w:tcPr>
            <w:tcW w:w="1560" w:type="dxa"/>
            <w:vAlign w:val="center"/>
          </w:tcPr>
          <w:p>
            <w:pPr>
              <w:jc w:val="center"/>
              <w:rPr>
                <w:rFonts w:ascii="宋体" w:hAnsi="宋体" w:cs="宋体"/>
                <w:b/>
                <w:bCs/>
                <w:color w:val="auto"/>
                <w:sz w:val="20"/>
                <w:szCs w:val="20"/>
                <w:highlight w:val="none"/>
              </w:rPr>
            </w:pPr>
            <w:r>
              <w:rPr>
                <w:rFonts w:hint="eastAsia" w:ascii="宋体" w:hAnsi="宋体" w:cs="宋体"/>
                <w:b/>
                <w:bCs/>
                <w:color w:val="auto"/>
                <w:sz w:val="20"/>
                <w:szCs w:val="20"/>
                <w:highlight w:val="none"/>
              </w:rPr>
              <w:t>条款名称</w:t>
            </w:r>
          </w:p>
        </w:tc>
        <w:tc>
          <w:tcPr>
            <w:tcW w:w="7447" w:type="dxa"/>
            <w:vAlign w:val="center"/>
          </w:tcPr>
          <w:p>
            <w:pPr>
              <w:jc w:val="center"/>
              <w:rPr>
                <w:rFonts w:ascii="宋体" w:hAnsi="宋体" w:cs="宋体"/>
                <w:b/>
                <w:bCs/>
                <w:color w:val="auto"/>
                <w:sz w:val="20"/>
                <w:szCs w:val="20"/>
                <w:highlight w:val="none"/>
              </w:rPr>
            </w:pPr>
            <w:r>
              <w:rPr>
                <w:rFonts w:hint="eastAsia" w:ascii="宋体" w:hAnsi="宋体" w:cs="宋体"/>
                <w:b/>
                <w:bCs/>
                <w:color w:val="auto"/>
                <w:sz w:val="20"/>
                <w:szCs w:val="20"/>
                <w:highlight w:val="none"/>
              </w:rPr>
              <w:t>编列内容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1.1.2</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招标人</w:t>
            </w:r>
          </w:p>
        </w:tc>
        <w:tc>
          <w:tcPr>
            <w:tcW w:w="7447" w:type="dxa"/>
          </w:tcPr>
          <w:p>
            <w:pPr>
              <w:pStyle w:val="56"/>
              <w:adjustRightInd w:val="0"/>
              <w:snapToGrid w:val="0"/>
              <w:spacing w:line="0" w:lineRule="atLeast"/>
              <w:ind w:right="241" w:rightChars="115" w:firstLine="0" w:firstLineChars="0"/>
              <w:rPr>
                <w:rFonts w:hAnsi="宋体" w:cs="宋体"/>
                <w:color w:val="auto"/>
                <w:szCs w:val="20"/>
                <w:highlight w:val="none"/>
              </w:rPr>
            </w:pPr>
            <w:r>
              <w:rPr>
                <w:rFonts w:hint="eastAsia" w:hAnsi="宋体" w:cs="宋体"/>
                <w:color w:val="auto"/>
                <w:szCs w:val="20"/>
                <w:highlight w:val="none"/>
              </w:rPr>
              <w:t>名称：浙江精工钢结构集团有限公司</w:t>
            </w:r>
          </w:p>
          <w:p>
            <w:pPr>
              <w:pStyle w:val="56"/>
              <w:adjustRightInd w:val="0"/>
              <w:snapToGrid w:val="0"/>
              <w:spacing w:line="0" w:lineRule="atLeast"/>
              <w:ind w:right="241" w:rightChars="115" w:firstLine="0" w:firstLineChars="0"/>
              <w:rPr>
                <w:rFonts w:hAnsi="宋体" w:cs="宋体"/>
                <w:color w:val="auto"/>
                <w:szCs w:val="20"/>
                <w:highlight w:val="none"/>
              </w:rPr>
            </w:pPr>
            <w:r>
              <w:rPr>
                <w:rFonts w:hint="eastAsia" w:hAnsi="宋体" w:cs="宋体"/>
                <w:color w:val="auto"/>
                <w:szCs w:val="20"/>
                <w:highlight w:val="none"/>
              </w:rPr>
              <w:t>地址：绍兴市柯桥区柯桥经济开发区鉴湖路</w:t>
            </w:r>
          </w:p>
          <w:p>
            <w:pPr>
              <w:rPr>
                <w:rFonts w:ascii="宋体" w:hAnsi="宋体" w:cs="宋体"/>
                <w:color w:val="auto"/>
                <w:sz w:val="20"/>
                <w:szCs w:val="20"/>
                <w:highlight w:val="none"/>
              </w:rPr>
            </w:pPr>
            <w:r>
              <w:rPr>
                <w:rFonts w:hint="eastAsia" w:ascii="宋体" w:hAnsi="宋体" w:cs="宋体"/>
                <w:color w:val="auto"/>
                <w:sz w:val="20"/>
                <w:szCs w:val="20"/>
                <w:highlight w:val="none"/>
              </w:rPr>
              <w:t>联系人：王晓文  电话：13971064493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1.1.3</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招标代理机构</w:t>
            </w:r>
          </w:p>
        </w:tc>
        <w:tc>
          <w:tcPr>
            <w:tcW w:w="7447" w:type="dxa"/>
          </w:tcPr>
          <w:p>
            <w:pPr>
              <w:pStyle w:val="56"/>
              <w:adjustRightInd w:val="0"/>
              <w:snapToGrid w:val="0"/>
              <w:spacing w:line="0" w:lineRule="atLeast"/>
              <w:ind w:right="241" w:rightChars="115" w:firstLine="0" w:firstLineChars="0"/>
              <w:rPr>
                <w:rFonts w:hAnsi="宋体" w:cs="宋体"/>
                <w:color w:val="auto"/>
                <w:szCs w:val="20"/>
                <w:highlight w:val="none"/>
              </w:rPr>
            </w:pPr>
            <w:r>
              <w:rPr>
                <w:rFonts w:hint="eastAsia" w:hAnsi="宋体" w:cs="宋体"/>
                <w:color w:val="auto"/>
                <w:szCs w:val="20"/>
                <w:highlight w:val="none"/>
              </w:rPr>
              <w:t>名称：浙江明业项目管理有限公司</w:t>
            </w:r>
          </w:p>
          <w:p>
            <w:pPr>
              <w:pStyle w:val="56"/>
              <w:adjustRightInd w:val="0"/>
              <w:snapToGrid w:val="0"/>
              <w:spacing w:line="0" w:lineRule="atLeast"/>
              <w:ind w:right="241" w:rightChars="115" w:firstLine="0" w:firstLineChars="0"/>
              <w:rPr>
                <w:rFonts w:hAnsi="宋体" w:cs="宋体"/>
                <w:color w:val="auto"/>
                <w:szCs w:val="20"/>
                <w:highlight w:val="none"/>
              </w:rPr>
            </w:pPr>
            <w:r>
              <w:rPr>
                <w:rFonts w:hint="eastAsia" w:hAnsi="宋体" w:cs="宋体"/>
                <w:color w:val="auto"/>
                <w:szCs w:val="20"/>
                <w:highlight w:val="none"/>
              </w:rPr>
              <w:t>地址：绍兴市解放大道111号中石化大楼7楼</w:t>
            </w:r>
          </w:p>
          <w:p>
            <w:pPr>
              <w:pStyle w:val="56"/>
              <w:adjustRightInd w:val="0"/>
              <w:snapToGrid w:val="0"/>
              <w:spacing w:line="0" w:lineRule="atLeast"/>
              <w:ind w:right="241" w:rightChars="115" w:firstLine="0" w:firstLineChars="0"/>
              <w:rPr>
                <w:rFonts w:hAnsi="宋体" w:cs="宋体"/>
                <w:color w:val="auto"/>
                <w:szCs w:val="20"/>
                <w:highlight w:val="none"/>
              </w:rPr>
            </w:pPr>
            <w:r>
              <w:rPr>
                <w:rFonts w:hint="eastAsia" w:hAnsi="宋体" w:cs="宋体"/>
                <w:color w:val="auto"/>
                <w:szCs w:val="20"/>
                <w:highlight w:val="none"/>
              </w:rPr>
              <w:t>联系人：张雅美  电话：0575-85209901、</w:t>
            </w:r>
            <w:r>
              <w:rPr>
                <w:rFonts w:hint="eastAsia" w:hAnsi="宋体" w:cs="宋体"/>
                <w:color w:val="auto"/>
                <w:szCs w:val="20"/>
                <w:highlight w:val="none"/>
                <w:u w:val="single"/>
              </w:rPr>
              <w:t>13957571013</w:t>
            </w:r>
          </w:p>
          <w:p>
            <w:pPr>
              <w:rPr>
                <w:rFonts w:ascii="宋体" w:hAnsi="宋体" w:cs="宋体"/>
                <w:color w:val="auto"/>
                <w:sz w:val="20"/>
                <w:szCs w:val="20"/>
                <w:highlight w:val="none"/>
              </w:rPr>
            </w:pPr>
            <w:r>
              <w:rPr>
                <w:rFonts w:hint="eastAsia" w:ascii="宋体" w:hAnsi="宋体" w:cs="宋体"/>
                <w:color w:val="auto"/>
                <w:sz w:val="20"/>
                <w:szCs w:val="20"/>
                <w:highlight w:val="none"/>
              </w:rPr>
              <w:t>电子邮箱：229330322@qq.com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1.1.4</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项目名称</w:t>
            </w:r>
          </w:p>
        </w:tc>
        <w:tc>
          <w:tcPr>
            <w:tcW w:w="7447" w:type="dxa"/>
          </w:tcPr>
          <w:p>
            <w:pPr>
              <w:rPr>
                <w:rFonts w:ascii="宋体" w:hAnsi="宋体" w:cs="宋体"/>
                <w:color w:val="auto"/>
                <w:sz w:val="20"/>
                <w:szCs w:val="20"/>
                <w:highlight w:val="none"/>
              </w:rPr>
            </w:pPr>
            <w:r>
              <w:rPr>
                <w:rFonts w:hint="eastAsia" w:ascii="宋体" w:hAnsi="宋体" w:cs="宋体"/>
                <w:color w:val="auto"/>
                <w:sz w:val="20"/>
                <w:szCs w:val="20"/>
                <w:highlight w:val="none"/>
              </w:rPr>
              <w:t>绍兴市妇幼保健院（绍兴市儿童医院）建设项目净化项目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1.1.5</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建设地点</w:t>
            </w:r>
          </w:p>
        </w:tc>
        <w:tc>
          <w:tcPr>
            <w:tcW w:w="7447" w:type="dxa"/>
          </w:tcPr>
          <w:p>
            <w:pPr>
              <w:rPr>
                <w:rFonts w:ascii="宋体" w:hAnsi="宋体" w:cs="宋体"/>
                <w:color w:val="auto"/>
                <w:sz w:val="20"/>
                <w:szCs w:val="20"/>
                <w:highlight w:val="none"/>
              </w:rPr>
            </w:pPr>
            <w:r>
              <w:rPr>
                <w:rFonts w:hint="eastAsia" w:ascii="宋体" w:hAnsi="宋体" w:cs="宋体"/>
                <w:color w:val="auto"/>
                <w:sz w:val="20"/>
                <w:szCs w:val="20"/>
                <w:highlight w:val="none"/>
              </w:rPr>
              <w:t>绍兴市越城区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1.2.1</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出资比例</w:t>
            </w:r>
          </w:p>
        </w:tc>
        <w:tc>
          <w:tcPr>
            <w:tcW w:w="7447" w:type="dxa"/>
          </w:tcPr>
          <w:p>
            <w:pPr>
              <w:rPr>
                <w:rFonts w:ascii="宋体" w:hAnsi="宋体" w:cs="宋体"/>
                <w:color w:val="auto"/>
                <w:sz w:val="20"/>
                <w:szCs w:val="20"/>
                <w:highlight w:val="none"/>
              </w:rPr>
            </w:pPr>
            <w:r>
              <w:rPr>
                <w:rFonts w:hint="eastAsia" w:ascii="宋体" w:hAnsi="宋体" w:cs="宋体"/>
                <w:color w:val="auto"/>
                <w:sz w:val="20"/>
                <w:szCs w:val="20"/>
                <w:highlight w:val="none"/>
              </w:rPr>
              <w:t>出资比例为100%。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1.2.3</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资金落实情况</w:t>
            </w:r>
          </w:p>
        </w:tc>
        <w:tc>
          <w:tcPr>
            <w:tcW w:w="7447" w:type="dxa"/>
          </w:tcPr>
          <w:p>
            <w:pPr>
              <w:rPr>
                <w:rFonts w:ascii="宋体" w:hAnsi="宋体" w:cs="宋体"/>
                <w:color w:val="auto"/>
                <w:sz w:val="20"/>
                <w:szCs w:val="20"/>
                <w:highlight w:val="none"/>
              </w:rPr>
            </w:pPr>
            <w:r>
              <w:rPr>
                <w:rFonts w:hint="eastAsia" w:ascii="宋体" w:hAnsi="宋体" w:cs="宋体"/>
                <w:color w:val="auto"/>
                <w:sz w:val="20"/>
                <w:szCs w:val="20"/>
                <w:highlight w:val="none"/>
              </w:rPr>
              <w:t>已经落实</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1.3.1</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招标范围</w:t>
            </w:r>
          </w:p>
        </w:tc>
        <w:tc>
          <w:tcPr>
            <w:tcW w:w="7447" w:type="dxa"/>
          </w:tcPr>
          <w:p>
            <w:pPr>
              <w:numPr>
                <w:ilvl w:val="0"/>
                <w:numId w:val="1"/>
              </w:numPr>
              <w:adjustRightInd w:val="0"/>
              <w:snapToGrid w:val="0"/>
              <w:spacing w:line="280" w:lineRule="exact"/>
              <w:rPr>
                <w:rFonts w:ascii="宋体" w:hAnsi="宋体" w:cs="宋体"/>
                <w:color w:val="auto"/>
                <w:kern w:val="58"/>
                <w:sz w:val="20"/>
                <w:szCs w:val="20"/>
                <w:highlight w:val="none"/>
              </w:rPr>
            </w:pPr>
            <w:r>
              <w:rPr>
                <w:rFonts w:hint="eastAsia" w:ascii="宋体" w:hAnsi="宋体" w:cs="宋体"/>
                <w:color w:val="auto"/>
                <w:sz w:val="20"/>
                <w:szCs w:val="20"/>
                <w:highlight w:val="none"/>
              </w:rPr>
              <w:t xml:space="preserve">本次招标项目的招标范围: </w:t>
            </w:r>
            <w:r>
              <w:rPr>
                <w:rFonts w:hint="eastAsia" w:ascii="宋体" w:hAnsi="宋体" w:cs="宋体"/>
                <w:color w:val="auto"/>
                <w:szCs w:val="21"/>
                <w:highlight w:val="none"/>
              </w:rPr>
              <w:t>绍兴市妇幼保健院（绍兴市儿童医院）净化工程，范围主要包括：手术部、隔离待产分娩病房、产房手术室、PICU和MICU负压病房、中心供应室、静脉配置中心、病理科PCR实验室、遗传科PCR实验室、细胞、分子实验室等科室工作区域的装饰、空调、强电、弱电、给排水专业，详见招标文件的“技术标准和要求”</w:t>
            </w:r>
            <w:r>
              <w:rPr>
                <w:rFonts w:hint="eastAsia" w:ascii="宋体" w:hAnsi="宋体" w:cs="宋体"/>
                <w:color w:val="auto"/>
                <w:kern w:val="58"/>
                <w:sz w:val="20"/>
                <w:szCs w:val="20"/>
                <w:highlight w:val="none"/>
              </w:rPr>
              <w:t>。</w:t>
            </w:r>
          </w:p>
          <w:p>
            <w:pPr>
              <w:adjustRightInd w:val="0"/>
              <w:snapToGrid w:val="0"/>
              <w:spacing w:line="280" w:lineRule="exact"/>
              <w:rPr>
                <w:rFonts w:ascii="宋体" w:hAnsi="宋体" w:cs="宋体"/>
                <w:color w:val="auto"/>
                <w:sz w:val="20"/>
                <w:szCs w:val="20"/>
                <w:highlight w:val="none"/>
              </w:rPr>
            </w:pPr>
            <w:r>
              <w:rPr>
                <w:rFonts w:hint="eastAsia" w:ascii="宋体" w:hAnsi="宋体" w:cs="宋体"/>
                <w:color w:val="auto"/>
                <w:kern w:val="58"/>
                <w:sz w:val="20"/>
                <w:szCs w:val="20"/>
                <w:highlight w:val="none"/>
              </w:rPr>
              <w:t>2、</w:t>
            </w:r>
            <w:r>
              <w:rPr>
                <w:rFonts w:hint="eastAsia" w:ascii="宋体" w:hAnsi="宋体" w:cs="宋体"/>
                <w:color w:val="auto"/>
                <w:sz w:val="20"/>
                <w:szCs w:val="20"/>
                <w:highlight w:val="none"/>
              </w:rPr>
              <w:t>本次招标内容:</w:t>
            </w:r>
            <w:r>
              <w:rPr>
                <w:rFonts w:hint="eastAsia" w:ascii="宋体" w:hAnsi="宋体" w:cs="宋体"/>
                <w:color w:val="auto"/>
                <w:szCs w:val="21"/>
                <w:highlight w:val="none"/>
              </w:rPr>
              <w:t>招标人提供的净化工程的施工图纸及工程量清单中的所有内容，包括净化系统的进一步深化设计、预留孔洞、设备基础、预埋铁构件、预埋管、套管及其封堵、设备材料供货、运输、卸货、保管、施工、安装、调试、检测、并最终通过验收，同时负责技术服务与培训，提交相关技术资料以及质保期内的维修保养等</w:t>
            </w:r>
            <w:r>
              <w:rPr>
                <w:rFonts w:hint="eastAsia" w:ascii="宋体" w:hAnsi="宋体" w:cs="宋体"/>
                <w:color w:val="auto"/>
                <w:sz w:val="20"/>
                <w:szCs w:val="20"/>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1.3.2</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工期要求</w:t>
            </w:r>
          </w:p>
        </w:tc>
        <w:tc>
          <w:tcPr>
            <w:tcW w:w="7447" w:type="dxa"/>
          </w:tcPr>
          <w:p>
            <w:pPr>
              <w:rPr>
                <w:rFonts w:ascii="宋体" w:hAnsi="宋体" w:cs="宋体"/>
                <w:color w:val="auto"/>
                <w:sz w:val="20"/>
                <w:szCs w:val="20"/>
                <w:highlight w:val="none"/>
              </w:rPr>
            </w:pPr>
            <w:r>
              <w:rPr>
                <w:rFonts w:hint="eastAsia" w:ascii="宋体" w:hAnsi="宋体" w:cs="宋体"/>
                <w:color w:val="auto"/>
                <w:szCs w:val="21"/>
                <w:highlight w:val="none"/>
              </w:rPr>
              <w:t>以招标人发出的开工指令后180天内，完成设备及材料供货、安装、调试、试运行、独立第三方100%检测、验收及交付使用，具体应与工程施工总进度计划同步。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1.3.3</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质量要求</w:t>
            </w:r>
          </w:p>
        </w:tc>
        <w:tc>
          <w:tcPr>
            <w:tcW w:w="7447" w:type="dxa"/>
          </w:tcPr>
          <w:p>
            <w:pPr>
              <w:rPr>
                <w:rFonts w:ascii="宋体" w:hAnsi="宋体" w:cs="宋体"/>
                <w:color w:val="auto"/>
                <w:sz w:val="20"/>
                <w:szCs w:val="20"/>
                <w:highlight w:val="none"/>
              </w:rPr>
            </w:pPr>
            <w:r>
              <w:rPr>
                <w:rFonts w:hint="eastAsia" w:ascii="宋体" w:hAnsi="宋体" w:cs="宋体"/>
                <w:color w:val="auto"/>
                <w:sz w:val="20"/>
                <w:szCs w:val="20"/>
                <w:highlight w:val="none"/>
              </w:rPr>
              <w:t>合格。配合总承包单位争创钱江杯、鲁班奖。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1.4.1</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投标资格条件、要求</w:t>
            </w:r>
          </w:p>
        </w:tc>
        <w:tc>
          <w:tcPr>
            <w:tcW w:w="7447" w:type="dxa"/>
            <w:vAlign w:val="center"/>
          </w:tcPr>
          <w:p>
            <w:pPr>
              <w:rPr>
                <w:rFonts w:ascii="宋体" w:hAnsi="宋体" w:cs="宋体"/>
                <w:color w:val="auto"/>
                <w:sz w:val="20"/>
                <w:szCs w:val="20"/>
                <w:highlight w:val="none"/>
              </w:rPr>
            </w:pPr>
            <w:r>
              <w:rPr>
                <w:rFonts w:hint="eastAsia" w:ascii="宋体" w:hAnsi="宋体" w:cs="宋体"/>
                <w:color w:val="auto"/>
                <w:sz w:val="20"/>
                <w:szCs w:val="20"/>
                <w:highlight w:val="none"/>
                <w:shd w:val="clear" w:color="auto" w:fill="FFFFFF"/>
              </w:rPr>
              <w:t>见招标公告内容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1.4.2</w:t>
            </w:r>
          </w:p>
        </w:tc>
        <w:tc>
          <w:tcPr>
            <w:tcW w:w="1560" w:type="dxa"/>
            <w:vAlign w:val="center"/>
          </w:tcPr>
          <w:p>
            <w:pPr>
              <w:pStyle w:val="56"/>
              <w:adjustRightInd w:val="0"/>
              <w:snapToGrid w:val="0"/>
              <w:spacing w:line="0" w:lineRule="atLeast"/>
              <w:ind w:right="241" w:rightChars="115" w:firstLine="0" w:firstLineChars="0"/>
              <w:jc w:val="center"/>
              <w:rPr>
                <w:rFonts w:hAnsi="宋体" w:cs="宋体"/>
                <w:color w:val="auto"/>
                <w:szCs w:val="20"/>
                <w:highlight w:val="none"/>
              </w:rPr>
            </w:pPr>
            <w:r>
              <w:rPr>
                <w:rFonts w:hint="eastAsia" w:hAnsi="宋体" w:cs="宋体"/>
                <w:color w:val="auto"/>
                <w:szCs w:val="20"/>
                <w:highlight w:val="none"/>
              </w:rPr>
              <w:t>是否接受联合体投标</w:t>
            </w:r>
          </w:p>
        </w:tc>
        <w:tc>
          <w:tcPr>
            <w:tcW w:w="7447" w:type="dxa"/>
            <w:vAlign w:val="center"/>
          </w:tcPr>
          <w:p>
            <w:pPr>
              <w:jc w:val="left"/>
              <w:rPr>
                <w:rFonts w:ascii="宋体" w:hAnsi="宋体" w:cs="宋体"/>
                <w:color w:val="auto"/>
                <w:sz w:val="20"/>
                <w:szCs w:val="20"/>
                <w:highlight w:val="none"/>
              </w:rPr>
            </w:pPr>
            <w:r>
              <w:rPr>
                <w:rFonts w:hint="eastAsia" w:ascii="宋体" w:hAnsi="宋体" w:cs="宋体"/>
                <w:color w:val="auto"/>
                <w:sz w:val="20"/>
                <w:szCs w:val="20"/>
                <w:highlight w:val="none"/>
              </w:rPr>
              <w:t>接受。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1.9.1</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踏勘现场</w:t>
            </w:r>
          </w:p>
        </w:tc>
        <w:tc>
          <w:tcPr>
            <w:tcW w:w="7447" w:type="dxa"/>
            <w:vAlign w:val="center"/>
          </w:tcPr>
          <w:p>
            <w:pPr>
              <w:rPr>
                <w:rFonts w:ascii="宋体" w:hAnsi="宋体" w:cs="宋体"/>
                <w:color w:val="auto"/>
                <w:sz w:val="20"/>
                <w:szCs w:val="20"/>
                <w:highlight w:val="none"/>
              </w:rPr>
            </w:pPr>
            <w:r>
              <w:rPr>
                <w:rFonts w:hint="eastAsia" w:ascii="宋体" w:hAnsi="宋体" w:cs="宋体"/>
                <w:color w:val="auto"/>
                <w:sz w:val="20"/>
                <w:szCs w:val="20"/>
                <w:highlight w:val="none"/>
              </w:rPr>
              <w:t>不组织。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1.10.1</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投标预备会</w:t>
            </w:r>
          </w:p>
        </w:tc>
        <w:tc>
          <w:tcPr>
            <w:tcW w:w="7447" w:type="dxa"/>
            <w:vAlign w:val="center"/>
          </w:tcPr>
          <w:p>
            <w:pPr>
              <w:jc w:val="left"/>
              <w:rPr>
                <w:rFonts w:ascii="宋体" w:hAnsi="宋体" w:cs="宋体"/>
                <w:color w:val="auto"/>
                <w:sz w:val="20"/>
                <w:szCs w:val="20"/>
                <w:highlight w:val="none"/>
              </w:rPr>
            </w:pPr>
            <w:r>
              <w:rPr>
                <w:rFonts w:hint="eastAsia" w:ascii="宋体" w:hAnsi="宋体" w:cs="宋体"/>
                <w:color w:val="auto"/>
                <w:sz w:val="20"/>
                <w:szCs w:val="20"/>
                <w:highlight w:val="none"/>
              </w:rPr>
              <w:t>不召开。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1.10.2</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投标人提出问题的截止时间</w:t>
            </w:r>
          </w:p>
        </w:tc>
        <w:tc>
          <w:tcPr>
            <w:tcW w:w="7447" w:type="dxa"/>
            <w:vAlign w:val="center"/>
          </w:tcPr>
          <w:p>
            <w:pPr>
              <w:jc w:val="left"/>
              <w:rPr>
                <w:rFonts w:ascii="宋体" w:hAnsi="宋体" w:cs="宋体"/>
                <w:color w:val="auto"/>
                <w:sz w:val="20"/>
                <w:szCs w:val="20"/>
                <w:highlight w:val="none"/>
              </w:rPr>
            </w:pPr>
            <w:r>
              <w:rPr>
                <w:rFonts w:hint="eastAsia" w:ascii="宋体" w:hAnsi="宋体" w:cs="宋体"/>
                <w:color w:val="auto"/>
                <w:sz w:val="20"/>
                <w:szCs w:val="20"/>
                <w:highlight w:val="none"/>
              </w:rPr>
              <w:t xml:space="preserve">2022年  月   日    </w:t>
            </w:r>
            <w:r>
              <w:rPr>
                <w:color w:val="auto"/>
                <w:highlight w:val="none"/>
              </w:rPr>
              <w:fldChar w:fldCharType="begin"/>
            </w:r>
            <w:r>
              <w:rPr>
                <w:color w:val="auto"/>
                <w:highlight w:val="none"/>
              </w:rPr>
              <w:instrText xml:space="preserve"> HYPERLINK "mailto:时前（北京时间），请将要求澄清内容加盖单位公章后将扫描件、WORD电子版发到229330322@qq.com。" </w:instrText>
            </w:r>
            <w:r>
              <w:rPr>
                <w:color w:val="auto"/>
                <w:highlight w:val="none"/>
              </w:rPr>
              <w:fldChar w:fldCharType="separate"/>
            </w:r>
            <w:r>
              <w:rPr>
                <w:rFonts w:hint="eastAsia" w:ascii="宋体" w:hAnsi="宋体" w:cs="宋体"/>
                <w:color w:val="auto"/>
                <w:sz w:val="20"/>
                <w:szCs w:val="20"/>
                <w:highlight w:val="none"/>
              </w:rPr>
              <w:t>时前（北京时间），请将要求澄清内容加盖单位公章后将扫描件、WORD电子版发到229330322@qq.com。</w:t>
            </w:r>
            <w:r>
              <w:rPr>
                <w:rFonts w:hint="eastAsia" w:ascii="宋体" w:hAnsi="宋体" w:cs="宋体"/>
                <w:color w:val="auto"/>
                <w:sz w:val="20"/>
                <w:szCs w:val="20"/>
                <w:highlight w:val="none"/>
              </w:rPr>
              <w:fldChar w:fldCharType="end"/>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1.10.3</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招标文件的澄清、补充、修改的时间以及澄清、补充、修改文件的下载网址</w:t>
            </w:r>
          </w:p>
        </w:tc>
        <w:tc>
          <w:tcPr>
            <w:tcW w:w="7447" w:type="dxa"/>
            <w:vAlign w:val="center"/>
          </w:tcPr>
          <w:p>
            <w:pPr>
              <w:rPr>
                <w:rFonts w:ascii="宋体" w:hAnsi="宋体" w:cs="宋体"/>
                <w:color w:val="auto"/>
                <w:sz w:val="20"/>
                <w:szCs w:val="20"/>
                <w:highlight w:val="none"/>
              </w:rPr>
            </w:pPr>
            <w:r>
              <w:rPr>
                <w:rFonts w:hint="eastAsia" w:ascii="宋体" w:hAnsi="宋体" w:cs="宋体"/>
                <w:color w:val="auto"/>
                <w:sz w:val="20"/>
                <w:szCs w:val="20"/>
                <w:highlight w:val="none"/>
              </w:rPr>
              <w:t>澄清、补充、修改的内容影响投标文件编制的，招标人将在投标截止时间15日前，以电子文件形式上传至交易平台供投标人下载，不足15天的，招标人将顺延递交投标文件的截止时间。</w:t>
            </w:r>
          </w:p>
          <w:p>
            <w:pPr>
              <w:rPr>
                <w:rFonts w:ascii="宋体" w:hAnsi="宋体" w:cs="宋体"/>
                <w:color w:val="auto"/>
                <w:sz w:val="20"/>
                <w:szCs w:val="20"/>
                <w:highlight w:val="none"/>
              </w:rPr>
            </w:pPr>
            <w:r>
              <w:rPr>
                <w:rFonts w:hint="eastAsia" w:ascii="宋体" w:hAnsi="宋体" w:cs="宋体"/>
                <w:color w:val="auto"/>
                <w:sz w:val="20"/>
                <w:szCs w:val="20"/>
                <w:highlight w:val="none"/>
              </w:rPr>
              <w:t>澄清、补充、修改的内容不影响投标文件编制的，将在投标文件递交截止时间7天前，以上款相同的形式发布。</w:t>
            </w:r>
          </w:p>
          <w:p>
            <w:pPr>
              <w:rPr>
                <w:rFonts w:ascii="宋体" w:hAnsi="宋体" w:cs="宋体"/>
                <w:color w:val="auto"/>
                <w:sz w:val="20"/>
                <w:szCs w:val="20"/>
                <w:highlight w:val="none"/>
                <w:lang w:bidi="ar"/>
              </w:rPr>
            </w:pPr>
            <w:r>
              <w:rPr>
                <w:rFonts w:hint="eastAsia" w:ascii="宋体" w:hAnsi="宋体" w:cs="宋体"/>
                <w:color w:val="auto"/>
                <w:sz w:val="20"/>
                <w:szCs w:val="20"/>
                <w:highlight w:val="none"/>
              </w:rPr>
              <w:t>下载网址： 绍兴公共资源交易网</w:t>
            </w:r>
            <w:r>
              <w:rPr>
                <w:rFonts w:hint="eastAsia"/>
                <w:color w:val="auto"/>
                <w:highlight w:val="none"/>
              </w:rPr>
              <w:fldChar w:fldCharType="begin"/>
            </w:r>
            <w:r>
              <w:rPr>
                <w:color w:val="auto"/>
                <w:highlight w:val="none"/>
              </w:rPr>
              <w:instrText xml:space="preserve"> HYPERLINK "http://www.zmctc.com/" \h </w:instrText>
            </w:r>
            <w:r>
              <w:rPr>
                <w:rFonts w:hint="eastAsia"/>
                <w:color w:val="auto"/>
                <w:highlight w:val="none"/>
              </w:rPr>
              <w:fldChar w:fldCharType="separate"/>
            </w:r>
            <w:r>
              <w:rPr>
                <w:rFonts w:hint="eastAsia" w:ascii="宋体" w:hAnsi="宋体" w:cs="宋体"/>
                <w:color w:val="auto"/>
                <w:sz w:val="20"/>
                <w:szCs w:val="20"/>
                <w:highlight w:val="none"/>
              </w:rPr>
              <w:t>（http://ggb.sx.gov.cn/</w:t>
            </w:r>
            <w:r>
              <w:rPr>
                <w:rFonts w:hint="eastAsia" w:ascii="宋体" w:hAnsi="宋体" w:cs="宋体"/>
                <w:color w:val="auto"/>
                <w:sz w:val="20"/>
                <w:szCs w:val="20"/>
                <w:highlight w:val="none"/>
              </w:rPr>
              <w:fldChar w:fldCharType="end"/>
            </w:r>
            <w:r>
              <w:rPr>
                <w:rFonts w:hint="eastAsia" w:ascii="宋体" w:hAnsi="宋体" w:cs="宋体"/>
                <w:color w:val="auto"/>
                <w:sz w:val="20"/>
                <w:szCs w:val="20"/>
                <w:highlight w:val="none"/>
              </w:rPr>
              <w:t>）。</w:t>
            </w:r>
            <w:r>
              <w:rPr>
                <w:rFonts w:hint="eastAsia" w:ascii="宋体" w:hAnsi="宋体" w:cs="宋体"/>
                <w:color w:val="auto"/>
                <w:sz w:val="20"/>
                <w:szCs w:val="20"/>
                <w:highlight w:val="none"/>
                <w:lang w:bidi="ar"/>
              </w:rPr>
              <w:t>投标人须使用用户名和密码登录交易平台后下载相关文件。</w:t>
            </w:r>
          </w:p>
          <w:p>
            <w:pPr>
              <w:rPr>
                <w:rFonts w:ascii="宋体" w:hAnsi="宋体" w:cs="宋体"/>
                <w:color w:val="auto"/>
                <w:sz w:val="20"/>
                <w:szCs w:val="20"/>
                <w:highlight w:val="none"/>
              </w:rPr>
            </w:pPr>
            <w:r>
              <w:rPr>
                <w:rFonts w:hint="eastAsia" w:ascii="宋体" w:hAnsi="宋体" w:cs="宋体"/>
                <w:color w:val="auto"/>
                <w:sz w:val="20"/>
                <w:szCs w:val="20"/>
                <w:highlight w:val="none"/>
              </w:rPr>
              <w:t>注：潜在投标人应密切关注交易平台，如有补充文件，投标人必须下载最新补充文件。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1.10.4</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投标人确认收到澄清、补充、修改文件的时间</w:t>
            </w:r>
          </w:p>
        </w:tc>
        <w:tc>
          <w:tcPr>
            <w:tcW w:w="7447" w:type="dxa"/>
            <w:vAlign w:val="center"/>
          </w:tcPr>
          <w:p>
            <w:pPr>
              <w:jc w:val="left"/>
              <w:rPr>
                <w:rFonts w:ascii="宋体" w:hAnsi="宋体" w:cs="宋体"/>
                <w:color w:val="auto"/>
                <w:sz w:val="20"/>
                <w:szCs w:val="20"/>
                <w:highlight w:val="none"/>
              </w:rPr>
            </w:pPr>
            <w:r>
              <w:rPr>
                <w:rFonts w:hint="eastAsia" w:ascii="宋体" w:hAnsi="宋体" w:cs="宋体"/>
                <w:color w:val="auto"/>
                <w:sz w:val="20"/>
                <w:szCs w:val="20"/>
                <w:highlight w:val="none"/>
              </w:rPr>
              <w:t>潜在投标人应自行关注绍兴公共资源交易网</w:t>
            </w:r>
            <w:r>
              <w:rPr>
                <w:color w:val="auto"/>
                <w:highlight w:val="none"/>
              </w:rPr>
              <w:fldChar w:fldCharType="begin"/>
            </w:r>
            <w:r>
              <w:rPr>
                <w:color w:val="auto"/>
                <w:highlight w:val="none"/>
              </w:rPr>
              <w:instrText xml:space="preserve"> HYPERLINK "http://www.zmctc.com/" \h </w:instrText>
            </w:r>
            <w:r>
              <w:rPr>
                <w:color w:val="auto"/>
                <w:highlight w:val="none"/>
              </w:rPr>
              <w:fldChar w:fldCharType="separate"/>
            </w:r>
            <w:r>
              <w:rPr>
                <w:rFonts w:hint="eastAsia" w:ascii="宋体" w:hAnsi="宋体" w:cs="宋体"/>
                <w:color w:val="auto"/>
                <w:sz w:val="20"/>
                <w:szCs w:val="20"/>
                <w:highlight w:val="none"/>
              </w:rPr>
              <w:t>（http://ggb.sx.gov.cn/</w:t>
            </w:r>
            <w:r>
              <w:rPr>
                <w:rFonts w:hint="eastAsia" w:ascii="宋体" w:hAnsi="宋体" w:cs="宋体"/>
                <w:color w:val="auto"/>
                <w:sz w:val="20"/>
                <w:szCs w:val="20"/>
                <w:highlight w:val="none"/>
              </w:rPr>
              <w:fldChar w:fldCharType="end"/>
            </w:r>
            <w:r>
              <w:rPr>
                <w:rFonts w:hint="eastAsia" w:ascii="宋体" w:hAnsi="宋体" w:cs="宋体"/>
                <w:color w:val="auto"/>
                <w:sz w:val="20"/>
                <w:szCs w:val="20"/>
                <w:highlight w:val="none"/>
              </w:rPr>
              <w:t>）</w:t>
            </w:r>
            <w:r>
              <w:rPr>
                <w:rFonts w:hint="eastAsia" w:ascii="宋体" w:hAnsi="宋体" w:cs="宋体"/>
                <w:color w:val="auto"/>
                <w:sz w:val="20"/>
                <w:szCs w:val="20"/>
                <w:highlight w:val="none"/>
                <w:lang w:bidi="ar"/>
              </w:rPr>
              <w:t>的交易平台及短信通知</w:t>
            </w:r>
            <w:r>
              <w:rPr>
                <w:rFonts w:hint="eastAsia" w:ascii="宋体" w:hAnsi="宋体" w:cs="宋体"/>
                <w:color w:val="auto"/>
                <w:sz w:val="20"/>
                <w:szCs w:val="20"/>
                <w:highlight w:val="none"/>
              </w:rPr>
              <w:t>，招标人不再一一通知。投标人因自身贻误行为导致投标失败的，责任自负。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1.11</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招标工程是否允许分包</w:t>
            </w:r>
          </w:p>
        </w:tc>
        <w:tc>
          <w:tcPr>
            <w:tcW w:w="7447" w:type="dxa"/>
            <w:vAlign w:val="center"/>
          </w:tcPr>
          <w:p>
            <w:pPr>
              <w:jc w:val="left"/>
              <w:rPr>
                <w:rFonts w:ascii="宋体" w:hAnsi="宋体" w:cs="宋体"/>
                <w:color w:val="auto"/>
                <w:sz w:val="20"/>
                <w:szCs w:val="20"/>
                <w:highlight w:val="none"/>
              </w:rPr>
            </w:pPr>
            <w:r>
              <w:rPr>
                <w:rFonts w:hint="eastAsia" w:ascii="宋体" w:hAnsi="宋体" w:cs="宋体"/>
                <w:color w:val="auto"/>
                <w:sz w:val="20"/>
                <w:szCs w:val="20"/>
                <w:highlight w:val="none"/>
              </w:rPr>
              <w:t>不允许。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1.12</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偏离</w:t>
            </w:r>
          </w:p>
        </w:tc>
        <w:tc>
          <w:tcPr>
            <w:tcW w:w="7447" w:type="dxa"/>
            <w:vAlign w:val="center"/>
          </w:tcPr>
          <w:p>
            <w:pPr>
              <w:jc w:val="left"/>
              <w:rPr>
                <w:rFonts w:ascii="宋体" w:hAnsi="宋体" w:cs="宋体"/>
                <w:color w:val="auto"/>
                <w:sz w:val="20"/>
                <w:szCs w:val="20"/>
                <w:highlight w:val="none"/>
              </w:rPr>
            </w:pPr>
            <w:r>
              <w:rPr>
                <w:rFonts w:hint="eastAsia" w:ascii="宋体" w:hAnsi="宋体" w:cs="宋体"/>
                <w:color w:val="auto"/>
                <w:szCs w:val="21"/>
                <w:highlight w:val="none"/>
              </w:rPr>
              <w:t>参照技术标评分标准。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2.1</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构成招标文件的其他资料</w:t>
            </w:r>
          </w:p>
        </w:tc>
        <w:tc>
          <w:tcPr>
            <w:tcW w:w="7447" w:type="dxa"/>
            <w:vAlign w:val="center"/>
          </w:tcPr>
          <w:p>
            <w:pPr>
              <w:jc w:val="left"/>
              <w:rPr>
                <w:rFonts w:ascii="宋体" w:hAnsi="宋体" w:cs="宋体"/>
                <w:color w:val="auto"/>
                <w:sz w:val="20"/>
                <w:szCs w:val="20"/>
                <w:highlight w:val="none"/>
              </w:rPr>
            </w:pPr>
            <w:r>
              <w:rPr>
                <w:rFonts w:hint="eastAsia" w:ascii="宋体" w:hAnsi="宋体" w:cs="宋体"/>
                <w:color w:val="auto"/>
                <w:sz w:val="20"/>
                <w:szCs w:val="20"/>
                <w:highlight w:val="none"/>
              </w:rPr>
              <w:t>货物清单、施工图纸、招标补充文件等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2.2.1</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投标人要求澄清招标文件的截止时间</w:t>
            </w:r>
          </w:p>
        </w:tc>
        <w:tc>
          <w:tcPr>
            <w:tcW w:w="7447" w:type="dxa"/>
            <w:vAlign w:val="center"/>
          </w:tcPr>
          <w:p>
            <w:pPr>
              <w:jc w:val="left"/>
              <w:rPr>
                <w:rFonts w:ascii="宋体" w:hAnsi="宋体" w:cs="宋体"/>
                <w:color w:val="auto"/>
                <w:sz w:val="20"/>
                <w:szCs w:val="20"/>
                <w:highlight w:val="none"/>
              </w:rPr>
            </w:pPr>
            <w:r>
              <w:rPr>
                <w:rFonts w:hint="eastAsia" w:ascii="宋体" w:hAnsi="宋体" w:cs="宋体"/>
                <w:color w:val="auto"/>
                <w:sz w:val="20"/>
                <w:szCs w:val="20"/>
                <w:highlight w:val="none"/>
              </w:rPr>
              <w:t>同招标公告中获取招标文件截止日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2.2.2</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投标截止时间</w:t>
            </w:r>
          </w:p>
        </w:tc>
        <w:tc>
          <w:tcPr>
            <w:tcW w:w="7447" w:type="dxa"/>
            <w:vAlign w:val="center"/>
          </w:tcPr>
          <w:p>
            <w:pPr>
              <w:jc w:val="left"/>
              <w:rPr>
                <w:rFonts w:ascii="宋体" w:hAnsi="宋体" w:cs="宋体"/>
                <w:color w:val="auto"/>
                <w:sz w:val="20"/>
                <w:szCs w:val="20"/>
                <w:highlight w:val="none"/>
              </w:rPr>
            </w:pPr>
            <w:r>
              <w:rPr>
                <w:rFonts w:hint="eastAsia" w:ascii="宋体" w:hAnsi="宋体" w:cs="宋体"/>
                <w:color w:val="auto"/>
                <w:sz w:val="20"/>
                <w:szCs w:val="20"/>
                <w:highlight w:val="none"/>
              </w:rPr>
              <w:t>见招标公告内容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2.2.3</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投标人确认收到招标文件澄清的时间</w:t>
            </w:r>
          </w:p>
        </w:tc>
        <w:tc>
          <w:tcPr>
            <w:tcW w:w="7447" w:type="dxa"/>
            <w:vAlign w:val="center"/>
          </w:tcPr>
          <w:p>
            <w:pPr>
              <w:jc w:val="left"/>
              <w:rPr>
                <w:rFonts w:ascii="宋体" w:hAnsi="宋体" w:cs="宋体"/>
                <w:color w:val="auto"/>
                <w:sz w:val="20"/>
                <w:szCs w:val="20"/>
                <w:highlight w:val="none"/>
              </w:rPr>
            </w:pPr>
            <w:r>
              <w:rPr>
                <w:rFonts w:hint="eastAsia" w:ascii="宋体" w:hAnsi="宋体" w:cs="宋体"/>
                <w:color w:val="auto"/>
                <w:sz w:val="20"/>
                <w:szCs w:val="20"/>
                <w:highlight w:val="none"/>
              </w:rPr>
              <w:t>潜在投标人应自行关注绍兴公共资源交易网</w:t>
            </w:r>
            <w:r>
              <w:rPr>
                <w:color w:val="auto"/>
                <w:highlight w:val="none"/>
              </w:rPr>
              <w:fldChar w:fldCharType="begin"/>
            </w:r>
            <w:r>
              <w:rPr>
                <w:color w:val="auto"/>
                <w:highlight w:val="none"/>
              </w:rPr>
              <w:instrText xml:space="preserve"> HYPERLINK "http://www.zmctc.com/" \h </w:instrText>
            </w:r>
            <w:r>
              <w:rPr>
                <w:color w:val="auto"/>
                <w:highlight w:val="none"/>
              </w:rPr>
              <w:fldChar w:fldCharType="separate"/>
            </w:r>
            <w:r>
              <w:rPr>
                <w:rFonts w:hint="eastAsia" w:ascii="宋体" w:hAnsi="宋体" w:cs="宋体"/>
                <w:color w:val="auto"/>
                <w:sz w:val="20"/>
                <w:szCs w:val="20"/>
                <w:highlight w:val="none"/>
              </w:rPr>
              <w:t>（http://ggb.sx.gov.cn/</w:t>
            </w:r>
            <w:r>
              <w:rPr>
                <w:rFonts w:hint="eastAsia" w:ascii="宋体" w:hAnsi="宋体" w:cs="宋体"/>
                <w:color w:val="auto"/>
                <w:sz w:val="20"/>
                <w:szCs w:val="20"/>
                <w:highlight w:val="none"/>
              </w:rPr>
              <w:fldChar w:fldCharType="end"/>
            </w:r>
            <w:r>
              <w:rPr>
                <w:rFonts w:hint="eastAsia" w:ascii="宋体" w:hAnsi="宋体" w:cs="宋体"/>
                <w:color w:val="auto"/>
                <w:sz w:val="20"/>
                <w:szCs w:val="20"/>
                <w:highlight w:val="none"/>
              </w:rPr>
              <w:t>）</w:t>
            </w:r>
            <w:r>
              <w:rPr>
                <w:rFonts w:hint="eastAsia" w:ascii="宋体" w:hAnsi="宋体" w:cs="宋体"/>
                <w:color w:val="auto"/>
                <w:sz w:val="20"/>
                <w:szCs w:val="20"/>
                <w:highlight w:val="none"/>
                <w:lang w:bidi="ar"/>
              </w:rPr>
              <w:t>的交易平台及短信通知</w:t>
            </w:r>
            <w:r>
              <w:rPr>
                <w:rFonts w:hint="eastAsia" w:ascii="宋体" w:hAnsi="宋体" w:cs="宋体"/>
                <w:color w:val="auto"/>
                <w:sz w:val="20"/>
                <w:szCs w:val="20"/>
                <w:highlight w:val="none"/>
              </w:rPr>
              <w:t>，招标人不再一一通知。投标人因自身贻误行为导致投标失败的，责任自负。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2.3.2</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投标人确认收到招标文件修改的时间</w:t>
            </w:r>
          </w:p>
        </w:tc>
        <w:tc>
          <w:tcPr>
            <w:tcW w:w="7447" w:type="dxa"/>
            <w:vAlign w:val="center"/>
          </w:tcPr>
          <w:p>
            <w:pPr>
              <w:jc w:val="left"/>
              <w:rPr>
                <w:rFonts w:ascii="宋体" w:hAnsi="宋体" w:cs="宋体"/>
                <w:color w:val="auto"/>
                <w:sz w:val="20"/>
                <w:szCs w:val="20"/>
                <w:highlight w:val="none"/>
              </w:rPr>
            </w:pPr>
            <w:r>
              <w:rPr>
                <w:rFonts w:hint="eastAsia" w:ascii="宋体" w:hAnsi="宋体" w:cs="宋体"/>
                <w:color w:val="auto"/>
                <w:sz w:val="20"/>
                <w:szCs w:val="20"/>
                <w:highlight w:val="none"/>
              </w:rPr>
              <w:t>潜在投标人应自行关注绍兴公共资源交易网</w:t>
            </w:r>
            <w:r>
              <w:rPr>
                <w:color w:val="auto"/>
                <w:highlight w:val="none"/>
              </w:rPr>
              <w:fldChar w:fldCharType="begin"/>
            </w:r>
            <w:r>
              <w:rPr>
                <w:color w:val="auto"/>
                <w:highlight w:val="none"/>
              </w:rPr>
              <w:instrText xml:space="preserve"> HYPERLINK "http://www.zmctc.com/" \h </w:instrText>
            </w:r>
            <w:r>
              <w:rPr>
                <w:color w:val="auto"/>
                <w:highlight w:val="none"/>
              </w:rPr>
              <w:fldChar w:fldCharType="separate"/>
            </w:r>
            <w:r>
              <w:rPr>
                <w:rFonts w:hint="eastAsia" w:ascii="宋体" w:hAnsi="宋体" w:cs="宋体"/>
                <w:color w:val="auto"/>
                <w:sz w:val="20"/>
                <w:szCs w:val="20"/>
                <w:highlight w:val="none"/>
              </w:rPr>
              <w:t>（http://ggb.sx.gov.cn/</w:t>
            </w:r>
            <w:r>
              <w:rPr>
                <w:rFonts w:hint="eastAsia" w:ascii="宋体" w:hAnsi="宋体" w:cs="宋体"/>
                <w:color w:val="auto"/>
                <w:sz w:val="20"/>
                <w:szCs w:val="20"/>
                <w:highlight w:val="none"/>
              </w:rPr>
              <w:fldChar w:fldCharType="end"/>
            </w:r>
            <w:r>
              <w:rPr>
                <w:rFonts w:hint="eastAsia" w:ascii="宋体" w:hAnsi="宋体" w:cs="宋体"/>
                <w:color w:val="auto"/>
                <w:sz w:val="20"/>
                <w:szCs w:val="20"/>
                <w:highlight w:val="none"/>
              </w:rPr>
              <w:t>）</w:t>
            </w:r>
            <w:r>
              <w:rPr>
                <w:rFonts w:hint="eastAsia" w:ascii="宋体" w:hAnsi="宋体" w:cs="宋体"/>
                <w:color w:val="auto"/>
                <w:sz w:val="20"/>
                <w:szCs w:val="20"/>
                <w:highlight w:val="none"/>
                <w:lang w:bidi="ar"/>
              </w:rPr>
              <w:t>的交易平台及短信通知</w:t>
            </w:r>
            <w:r>
              <w:rPr>
                <w:rFonts w:hint="eastAsia" w:ascii="宋体" w:hAnsi="宋体" w:cs="宋体"/>
                <w:color w:val="auto"/>
                <w:sz w:val="20"/>
                <w:szCs w:val="20"/>
                <w:highlight w:val="none"/>
              </w:rPr>
              <w:t>，招标人不再一一通知。投标人因自身贻误行为导致投标失败的，责任自负。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3.1.1</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构成投标文件的其他资料</w:t>
            </w:r>
          </w:p>
        </w:tc>
        <w:tc>
          <w:tcPr>
            <w:tcW w:w="7447" w:type="dxa"/>
            <w:vAlign w:val="center"/>
          </w:tcPr>
          <w:p>
            <w:pPr>
              <w:jc w:val="left"/>
              <w:rPr>
                <w:rFonts w:ascii="宋体" w:hAnsi="宋体" w:cs="宋体"/>
                <w:color w:val="auto"/>
                <w:sz w:val="20"/>
                <w:szCs w:val="20"/>
                <w:highlight w:val="none"/>
              </w:rPr>
            </w:pPr>
            <w:r>
              <w:rPr>
                <w:rFonts w:hint="eastAsia" w:ascii="宋体" w:hAnsi="宋体" w:cs="宋体"/>
                <w:color w:val="auto"/>
                <w:sz w:val="20"/>
                <w:szCs w:val="20"/>
                <w:highlight w:val="none"/>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3.2.3</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最高投标限价或其计算方法</w:t>
            </w:r>
          </w:p>
        </w:tc>
        <w:tc>
          <w:tcPr>
            <w:tcW w:w="7447" w:type="dxa"/>
            <w:vAlign w:val="center"/>
          </w:tcPr>
          <w:p>
            <w:pPr>
              <w:jc w:val="left"/>
              <w:rPr>
                <w:rFonts w:ascii="宋体" w:hAnsi="宋体" w:cs="宋体"/>
                <w:color w:val="auto"/>
                <w:sz w:val="20"/>
                <w:szCs w:val="20"/>
                <w:highlight w:val="none"/>
              </w:rPr>
            </w:pPr>
            <w:r>
              <w:rPr>
                <w:rFonts w:hint="eastAsia" w:ascii="宋体" w:hAnsi="宋体" w:cs="宋体"/>
                <w:color w:val="auto"/>
                <w:sz w:val="20"/>
                <w:szCs w:val="20"/>
                <w:highlight w:val="none"/>
              </w:rPr>
              <w:t>本次招标最高投标限价为：</w:t>
            </w:r>
            <w:r>
              <w:rPr>
                <w:rFonts w:hint="eastAsia" w:ascii="宋体" w:hAnsi="宋体" w:cs="宋体"/>
                <w:color w:val="auto"/>
                <w:szCs w:val="21"/>
                <w:highlight w:val="none"/>
              </w:rPr>
              <w:t>3500</w:t>
            </w:r>
            <w:r>
              <w:rPr>
                <w:rFonts w:hint="eastAsia" w:ascii="宋体" w:hAnsi="宋体" w:cs="宋体"/>
                <w:color w:val="auto"/>
                <w:sz w:val="20"/>
                <w:szCs w:val="20"/>
                <w:highlight w:val="none"/>
              </w:rPr>
              <w:t>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3.2.4</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投标报价的其他要求</w:t>
            </w:r>
          </w:p>
        </w:tc>
        <w:tc>
          <w:tcPr>
            <w:tcW w:w="7447" w:type="dxa"/>
            <w:vAlign w:val="center"/>
          </w:tcPr>
          <w:p>
            <w:pPr>
              <w:pStyle w:val="56"/>
              <w:adjustRightInd w:val="0"/>
              <w:snapToGrid w:val="0"/>
              <w:spacing w:line="0" w:lineRule="atLeast"/>
              <w:ind w:firstLine="0" w:firstLineChars="0"/>
              <w:rPr>
                <w:rFonts w:hAnsi="宋体" w:cs="宋体"/>
                <w:color w:val="auto"/>
                <w:szCs w:val="20"/>
                <w:highlight w:val="none"/>
              </w:rPr>
            </w:pPr>
            <w:r>
              <w:rPr>
                <w:rFonts w:hint="eastAsia" w:hAnsi="宋体" w:cs="宋体"/>
                <w:color w:val="auto"/>
                <w:szCs w:val="20"/>
                <w:highlight w:val="none"/>
              </w:rPr>
              <w:t>1、 投标报价为投标人的投标文件中提出的各项支付金额的总和。</w:t>
            </w:r>
          </w:p>
          <w:p>
            <w:pPr>
              <w:pStyle w:val="56"/>
              <w:adjustRightInd w:val="0"/>
              <w:snapToGrid w:val="0"/>
              <w:spacing w:line="0" w:lineRule="atLeast"/>
              <w:ind w:firstLine="0" w:firstLineChars="0"/>
              <w:rPr>
                <w:rFonts w:hAnsi="宋体" w:cs="宋体"/>
                <w:color w:val="auto"/>
                <w:szCs w:val="20"/>
                <w:highlight w:val="none"/>
              </w:rPr>
            </w:pPr>
            <w:r>
              <w:rPr>
                <w:rFonts w:hint="eastAsia" w:hAnsi="宋体" w:cs="宋体"/>
                <w:color w:val="auto"/>
                <w:szCs w:val="20"/>
                <w:highlight w:val="none"/>
              </w:rPr>
              <w:t>2、 技术标中明确或招标文件、设计图纸确定的相应技术规范要求的费用应包括在投标报价中，否则视同投标优惠。</w:t>
            </w:r>
          </w:p>
          <w:p>
            <w:pPr>
              <w:pStyle w:val="56"/>
              <w:adjustRightInd w:val="0"/>
              <w:snapToGrid w:val="0"/>
              <w:spacing w:line="0" w:lineRule="atLeast"/>
              <w:ind w:firstLine="0" w:firstLineChars="0"/>
              <w:rPr>
                <w:rFonts w:hAnsi="宋体" w:cs="宋体"/>
                <w:color w:val="auto"/>
                <w:szCs w:val="20"/>
                <w:highlight w:val="none"/>
              </w:rPr>
            </w:pPr>
            <w:r>
              <w:rPr>
                <w:rFonts w:hint="eastAsia" w:hAnsi="宋体" w:cs="宋体"/>
                <w:color w:val="auto"/>
                <w:szCs w:val="20"/>
                <w:highlight w:val="none"/>
              </w:rPr>
              <w:t>3、合同的交货和安装地点为本须知前附表第1.1.5项所述，除非合同中另有规定，投标人在投标总价中的价格均包括完成该工程项目的设备和材料供应、安装、调试开通、利润、税金、风险等所有费用,但投标报价不得超过本投标人须知前附表第3.2.3条所规定的上限，否则作废标处理。</w:t>
            </w:r>
          </w:p>
          <w:p>
            <w:pPr>
              <w:jc w:val="left"/>
              <w:rPr>
                <w:rFonts w:ascii="宋体" w:hAnsi="宋体" w:cs="宋体"/>
                <w:color w:val="auto"/>
                <w:sz w:val="20"/>
                <w:szCs w:val="20"/>
                <w:highlight w:val="none"/>
              </w:rPr>
            </w:pPr>
            <w:r>
              <w:rPr>
                <w:rFonts w:hint="eastAsia" w:ascii="宋体" w:hAnsi="宋体" w:cs="宋体"/>
                <w:color w:val="auto"/>
                <w:sz w:val="20"/>
                <w:szCs w:val="20"/>
                <w:highlight w:val="none"/>
              </w:rPr>
              <w:t>4、 投标人应充分了解现场位置、情况、道路、储存空间、装卸限制及任何其它足以影响报价的情况（是否到项目现场踏勘由投标人自行决定，招标人不另行组织），任何因忽视或误解工地情况而导致的索赔或工期延长申请将不获批准；</w:t>
            </w:r>
          </w:p>
          <w:p>
            <w:pPr>
              <w:pStyle w:val="56"/>
              <w:adjustRightInd w:val="0"/>
              <w:snapToGrid w:val="0"/>
              <w:spacing w:line="0" w:lineRule="atLeast"/>
              <w:ind w:firstLine="0" w:firstLineChars="0"/>
              <w:rPr>
                <w:rFonts w:hAnsi="宋体" w:cs="宋体"/>
                <w:color w:val="auto"/>
                <w:szCs w:val="20"/>
                <w:highlight w:val="none"/>
              </w:rPr>
            </w:pPr>
            <w:r>
              <w:rPr>
                <w:rFonts w:hint="eastAsia" w:hAnsi="宋体" w:cs="宋体"/>
                <w:color w:val="auto"/>
                <w:szCs w:val="20"/>
                <w:highlight w:val="none"/>
              </w:rPr>
              <w:t>5、 投标人的投标报价包括并不限于按照本工程招标人提供的图纸、货物清单以及本项目技术要求所进行的进一步深化设计费、设备费、运输保险费、卸货费、保管费、仓储费、工程施工费、设备安装费、安装调试费、技术服务与培训费、试运行费用、验收费、备品备件（含专用工具）费、质保期内的维修保养费、规费、税金、政策性文件规定及合同包含的所有风险、责任等完成本项目所有的供货及安装并通过验收合格的所有的一切费用；包括投标人按照本次招标根据招标人提供的本工程图纸、货物清单以及本项目技术要求等进一步完成深化施工图纸设计工作，并承担深化设计费用及深化设计后增加工程的施工费用；请各投标人综合分析充分考虑后全部组价计入本次报价中，中标后对上述方面的费用增加将不予调整。特别提醒：招标人在招标文件中给出的货物清单仅仅是为了方便本次招标，本工程实际发生的货物清单应该以招标人最终批准的由中标人完成的进一步深化设计图纸所对应的货物清单为准，本工程实际发生的货物清单供货安装费用与本次招标货物清单供货安装费用的差额请投标人充分考虑全部包含在本次投标总价中，中标后一律不予调整。</w:t>
            </w:r>
          </w:p>
          <w:p>
            <w:pPr>
              <w:pStyle w:val="56"/>
              <w:adjustRightInd w:val="0"/>
              <w:snapToGrid w:val="0"/>
              <w:spacing w:line="0" w:lineRule="atLeast"/>
              <w:ind w:firstLine="0" w:firstLineChars="0"/>
              <w:jc w:val="both"/>
              <w:rPr>
                <w:rFonts w:hAnsi="宋体" w:cs="宋体"/>
                <w:color w:val="auto"/>
                <w:szCs w:val="20"/>
                <w:highlight w:val="none"/>
              </w:rPr>
            </w:pPr>
            <w:r>
              <w:rPr>
                <w:rFonts w:hint="eastAsia" w:hAnsi="宋体" w:cs="宋体"/>
                <w:color w:val="auto"/>
                <w:szCs w:val="20"/>
                <w:highlight w:val="none"/>
              </w:rPr>
              <w:t>6、 招标人不接受低于成本的投标报价，也不接受招标项目范围内的捐赠。</w:t>
            </w:r>
          </w:p>
          <w:p>
            <w:pPr>
              <w:pStyle w:val="56"/>
              <w:adjustRightInd w:val="0"/>
              <w:snapToGrid w:val="0"/>
              <w:spacing w:line="0" w:lineRule="atLeast"/>
              <w:ind w:firstLine="0" w:firstLineChars="0"/>
              <w:rPr>
                <w:rFonts w:hAnsi="宋体" w:cs="宋体"/>
                <w:color w:val="auto"/>
                <w:szCs w:val="20"/>
                <w:highlight w:val="none"/>
              </w:rPr>
            </w:pPr>
            <w:r>
              <w:rPr>
                <w:rFonts w:hint="eastAsia" w:hAnsi="宋体" w:cs="宋体"/>
                <w:color w:val="auto"/>
                <w:szCs w:val="20"/>
                <w:highlight w:val="none"/>
              </w:rPr>
              <w:t>7、投标人按照上述要求编制投标报价。一旦确认某一投标人中标，除合同规定的可调整内容外，中标人不得要求追加任何费用。</w:t>
            </w:r>
          </w:p>
          <w:p>
            <w:pPr>
              <w:pStyle w:val="56"/>
              <w:adjustRightInd w:val="0"/>
              <w:snapToGrid w:val="0"/>
              <w:spacing w:line="0" w:lineRule="atLeast"/>
              <w:ind w:firstLine="0" w:firstLineChars="0"/>
              <w:jc w:val="both"/>
              <w:rPr>
                <w:rFonts w:hAnsi="宋体" w:cs="宋体"/>
                <w:color w:val="auto"/>
                <w:szCs w:val="20"/>
                <w:highlight w:val="none"/>
              </w:rPr>
            </w:pPr>
            <w:r>
              <w:rPr>
                <w:rFonts w:hint="eastAsia" w:hAnsi="宋体" w:cs="宋体"/>
                <w:color w:val="auto"/>
                <w:szCs w:val="20"/>
                <w:highlight w:val="none"/>
              </w:rPr>
              <w:t>8、除总承包人在其施工周期内免费提供工地内已有的并能独立使用的脚手架、机械设备等辅助设施外，投标人报价中还应包含本项目供货及安装时所需的各项措施费（如未单独列报的，将视作已包含在投标总价之中），否则视作优惠。同时须满足下列要求：</w:t>
            </w:r>
          </w:p>
          <w:p>
            <w:pPr>
              <w:pStyle w:val="56"/>
              <w:adjustRightInd w:val="0"/>
              <w:snapToGrid w:val="0"/>
              <w:spacing w:line="0" w:lineRule="atLeast"/>
              <w:ind w:firstLine="0" w:firstLineChars="0"/>
              <w:jc w:val="both"/>
              <w:rPr>
                <w:rFonts w:hAnsi="宋体" w:cs="宋体"/>
                <w:color w:val="auto"/>
                <w:szCs w:val="20"/>
                <w:highlight w:val="none"/>
              </w:rPr>
            </w:pPr>
            <w:r>
              <w:rPr>
                <w:rFonts w:hint="eastAsia" w:hAnsi="宋体" w:cs="宋体"/>
                <w:color w:val="auto"/>
                <w:szCs w:val="20"/>
                <w:highlight w:val="none"/>
              </w:rPr>
              <w:t>①供应商进场后须与总包签订总包管理协议，服从总包管理要求。</w:t>
            </w:r>
          </w:p>
          <w:p>
            <w:pPr>
              <w:pStyle w:val="56"/>
              <w:adjustRightInd w:val="0"/>
              <w:snapToGrid w:val="0"/>
              <w:spacing w:line="0" w:lineRule="atLeast"/>
              <w:ind w:firstLine="0" w:firstLineChars="0"/>
              <w:jc w:val="both"/>
              <w:rPr>
                <w:rFonts w:hAnsi="宋体" w:cs="宋体"/>
                <w:color w:val="auto"/>
                <w:szCs w:val="20"/>
                <w:highlight w:val="none"/>
              </w:rPr>
            </w:pPr>
            <w:r>
              <w:rPr>
                <w:rFonts w:hint="eastAsia" w:hAnsi="宋体" w:cs="宋体"/>
                <w:color w:val="auto"/>
                <w:szCs w:val="20"/>
                <w:highlight w:val="none"/>
              </w:rPr>
              <w:t>②供应商的安装进场时间不应晚于监理、业主审批的施工总进度计划进场时间。</w:t>
            </w:r>
          </w:p>
          <w:p>
            <w:pPr>
              <w:pStyle w:val="56"/>
              <w:adjustRightInd w:val="0"/>
              <w:snapToGrid w:val="0"/>
              <w:spacing w:line="0" w:lineRule="atLeast"/>
              <w:ind w:firstLine="0" w:firstLineChars="0"/>
              <w:jc w:val="both"/>
              <w:rPr>
                <w:rFonts w:hAnsi="宋体" w:cs="宋体"/>
                <w:color w:val="auto"/>
                <w:szCs w:val="20"/>
                <w:highlight w:val="none"/>
              </w:rPr>
            </w:pPr>
            <w:r>
              <w:rPr>
                <w:rFonts w:hint="eastAsia" w:hAnsi="宋体" w:cs="宋体"/>
                <w:color w:val="auto"/>
                <w:szCs w:val="20"/>
                <w:highlight w:val="none"/>
              </w:rPr>
              <w:t>③供应商进场前，图纸须齐全，以免影响后续施工进度（供应商须对图纸进行深化设计）。</w:t>
            </w:r>
          </w:p>
          <w:p>
            <w:pPr>
              <w:pStyle w:val="56"/>
              <w:adjustRightInd w:val="0"/>
              <w:snapToGrid w:val="0"/>
              <w:spacing w:line="0" w:lineRule="atLeast"/>
              <w:ind w:firstLine="0" w:firstLineChars="0"/>
              <w:jc w:val="both"/>
              <w:rPr>
                <w:rFonts w:hAnsi="宋体" w:cs="宋体"/>
                <w:color w:val="auto"/>
                <w:szCs w:val="20"/>
                <w:highlight w:val="none"/>
              </w:rPr>
            </w:pPr>
            <w:r>
              <w:rPr>
                <w:rFonts w:hint="eastAsia" w:hAnsi="宋体" w:cs="宋体"/>
                <w:color w:val="auto"/>
                <w:szCs w:val="20"/>
                <w:highlight w:val="none"/>
              </w:rPr>
              <w:t>④进入施工现场后，设备及材料堆放场地须按照总包要求进行布设，满足标准化工地要求。</w:t>
            </w:r>
          </w:p>
          <w:p>
            <w:pPr>
              <w:pStyle w:val="56"/>
              <w:adjustRightInd w:val="0"/>
              <w:snapToGrid w:val="0"/>
              <w:spacing w:line="0" w:lineRule="atLeast"/>
              <w:ind w:firstLine="0" w:firstLineChars="0"/>
              <w:jc w:val="both"/>
              <w:rPr>
                <w:rFonts w:hAnsi="宋体" w:cs="宋体"/>
                <w:color w:val="auto"/>
                <w:szCs w:val="20"/>
                <w:highlight w:val="none"/>
              </w:rPr>
            </w:pPr>
            <w:r>
              <w:rPr>
                <w:rFonts w:hint="eastAsia" w:hAnsi="宋体" w:cs="宋体"/>
                <w:color w:val="auto"/>
                <w:szCs w:val="20"/>
                <w:highlight w:val="none"/>
              </w:rPr>
              <w:t>⑤供应商应做好自身安全管理工作，加强对所属人员的安全管理和交底教育工作，对自身安全承担全部责任，若因其发生安全事故造成对第三方的损失（包括荣誉损失）均由供应商负责。</w:t>
            </w:r>
          </w:p>
          <w:p>
            <w:pPr>
              <w:pStyle w:val="56"/>
              <w:adjustRightInd w:val="0"/>
              <w:snapToGrid w:val="0"/>
              <w:spacing w:line="0" w:lineRule="atLeast"/>
              <w:ind w:firstLine="0" w:firstLineChars="0"/>
              <w:jc w:val="both"/>
              <w:rPr>
                <w:rFonts w:hAnsi="宋体" w:cs="宋体"/>
                <w:color w:val="auto"/>
                <w:szCs w:val="20"/>
                <w:highlight w:val="none"/>
              </w:rPr>
            </w:pPr>
            <w:r>
              <w:rPr>
                <w:rFonts w:hint="eastAsia" w:hAnsi="宋体" w:cs="宋体"/>
                <w:color w:val="auto"/>
                <w:szCs w:val="20"/>
                <w:highlight w:val="none"/>
              </w:rPr>
              <w:t>⑥除以上内容外，供货及安装过程中若供应商要求使用总承包单位的临时设施中住宿费用，材料、设备的存储堆放等及其他配合事项时，所发生的费用由双方自行协商解决，</w:t>
            </w:r>
          </w:p>
          <w:p>
            <w:pPr>
              <w:pStyle w:val="56"/>
              <w:numPr>
                <w:ilvl w:val="0"/>
                <w:numId w:val="2"/>
              </w:numPr>
              <w:adjustRightInd w:val="0"/>
              <w:snapToGrid w:val="0"/>
              <w:spacing w:line="0" w:lineRule="atLeast"/>
              <w:ind w:firstLine="0" w:firstLineChars="0"/>
              <w:jc w:val="both"/>
              <w:rPr>
                <w:rFonts w:hAnsi="宋体" w:cs="宋体"/>
                <w:color w:val="auto"/>
                <w:szCs w:val="20"/>
                <w:highlight w:val="none"/>
              </w:rPr>
            </w:pPr>
            <w:r>
              <w:rPr>
                <w:rFonts w:hint="eastAsia" w:hAnsi="宋体" w:cs="宋体"/>
                <w:color w:val="auto"/>
                <w:szCs w:val="20"/>
                <w:highlight w:val="none"/>
              </w:rPr>
              <w:t>鉴于目前总包施工现状，室外脚手架搭建情况，请投标人自行考虑设备运输事宜并承担运输费用请充分考虑综合进入投标总价，中标后不予调整。并从安全角度出发，要求投标单位充分考虑在室外施工时的临边围护、安全防护等措施（如有），相关费用计入投标总价中，中标后不予调整。</w:t>
            </w:r>
          </w:p>
          <w:p>
            <w:pPr>
              <w:pStyle w:val="2"/>
              <w:ind w:firstLine="0" w:firstLineChars="0"/>
              <w:rPr>
                <w:rFonts w:ascii="宋体" w:hAnsi="宋体" w:cs="宋体"/>
                <w:color w:val="auto"/>
                <w:sz w:val="20"/>
                <w:highlight w:val="none"/>
              </w:rPr>
            </w:pPr>
            <w:r>
              <w:rPr>
                <w:rFonts w:hint="eastAsia" w:ascii="宋体" w:hAnsi="宋体" w:cs="宋体"/>
                <w:b/>
                <w:bCs/>
                <w:color w:val="auto"/>
                <w:sz w:val="20"/>
                <w:highlight w:val="none"/>
              </w:rPr>
              <w:t>以上各条款规定及要求请投标人在报价时综合考虑，未考虑的视作优惠。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3.3.1</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投标有效期</w:t>
            </w:r>
          </w:p>
        </w:tc>
        <w:tc>
          <w:tcPr>
            <w:tcW w:w="7447" w:type="dxa"/>
            <w:vAlign w:val="center"/>
          </w:tcPr>
          <w:p>
            <w:pPr>
              <w:jc w:val="left"/>
              <w:rPr>
                <w:rFonts w:ascii="宋体" w:hAnsi="宋体" w:cs="宋体"/>
                <w:color w:val="auto"/>
                <w:sz w:val="20"/>
                <w:szCs w:val="20"/>
                <w:highlight w:val="none"/>
              </w:rPr>
            </w:pPr>
            <w:r>
              <w:rPr>
                <w:rFonts w:hint="eastAsia" w:ascii="宋体" w:hAnsi="宋体" w:cs="宋体"/>
                <w:color w:val="auto"/>
                <w:sz w:val="20"/>
                <w:szCs w:val="20"/>
                <w:highlight w:val="none"/>
              </w:rPr>
              <w:t>90个日历天（从投标截止之日起算）。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3.4.1</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投标保证金</w:t>
            </w:r>
          </w:p>
        </w:tc>
        <w:tc>
          <w:tcPr>
            <w:tcW w:w="7447" w:type="dxa"/>
            <w:vAlign w:val="center"/>
          </w:tcPr>
          <w:p>
            <w:pPr>
              <w:pStyle w:val="56"/>
              <w:adjustRightInd w:val="0"/>
              <w:snapToGrid w:val="0"/>
              <w:spacing w:line="0" w:lineRule="atLeast"/>
              <w:ind w:firstLine="0" w:firstLineChars="0"/>
              <w:rPr>
                <w:rFonts w:hAnsi="宋体" w:cs="宋体"/>
                <w:color w:val="auto"/>
                <w:szCs w:val="20"/>
                <w:highlight w:val="none"/>
              </w:rPr>
            </w:pPr>
            <w:r>
              <w:rPr>
                <w:rFonts w:hint="eastAsia" w:hAnsi="宋体" w:cs="宋体"/>
                <w:color w:val="auto"/>
                <w:szCs w:val="20"/>
                <w:highlight w:val="none"/>
              </w:rPr>
              <w:t>形式：见招标公告</w:t>
            </w:r>
          </w:p>
          <w:p>
            <w:pPr>
              <w:pStyle w:val="56"/>
              <w:adjustRightInd w:val="0"/>
              <w:snapToGrid w:val="0"/>
              <w:spacing w:line="0" w:lineRule="atLeast"/>
              <w:ind w:firstLine="0" w:firstLineChars="0"/>
              <w:rPr>
                <w:rFonts w:hAnsi="宋体" w:cs="宋体"/>
                <w:color w:val="auto"/>
                <w:szCs w:val="20"/>
                <w:highlight w:val="none"/>
              </w:rPr>
            </w:pPr>
            <w:r>
              <w:rPr>
                <w:rFonts w:hint="eastAsia" w:hAnsi="宋体" w:cs="宋体"/>
                <w:color w:val="auto"/>
                <w:szCs w:val="20"/>
                <w:highlight w:val="none"/>
              </w:rPr>
              <w:t>金额：见招标公告</w:t>
            </w:r>
          </w:p>
          <w:p>
            <w:pPr>
              <w:pStyle w:val="56"/>
              <w:adjustRightInd w:val="0"/>
              <w:snapToGrid w:val="0"/>
              <w:spacing w:line="0" w:lineRule="atLeast"/>
              <w:ind w:firstLine="0" w:firstLineChars="0"/>
              <w:rPr>
                <w:rFonts w:hAnsi="宋体" w:cs="宋体"/>
                <w:color w:val="auto"/>
                <w:szCs w:val="20"/>
                <w:highlight w:val="none"/>
              </w:rPr>
            </w:pPr>
            <w:r>
              <w:rPr>
                <w:rFonts w:hint="eastAsia" w:hAnsi="宋体" w:cs="宋体"/>
                <w:color w:val="auto"/>
                <w:szCs w:val="20"/>
                <w:highlight w:val="none"/>
              </w:rPr>
              <w:t>递交方式：见招标公告</w:t>
            </w:r>
          </w:p>
          <w:p>
            <w:pPr>
              <w:pStyle w:val="56"/>
              <w:adjustRightInd w:val="0"/>
              <w:snapToGrid w:val="0"/>
              <w:spacing w:line="0" w:lineRule="atLeast"/>
              <w:ind w:firstLine="0" w:firstLineChars="0"/>
              <w:rPr>
                <w:rFonts w:hAnsi="宋体" w:cs="宋体"/>
                <w:color w:val="auto"/>
                <w:szCs w:val="20"/>
                <w:highlight w:val="none"/>
              </w:rPr>
            </w:pPr>
            <w:r>
              <w:rPr>
                <w:rFonts w:hint="eastAsia" w:hAnsi="宋体" w:cs="宋体"/>
                <w:color w:val="auto"/>
                <w:szCs w:val="20"/>
                <w:highlight w:val="none"/>
              </w:rPr>
              <w:t>投标保证金不予退还的情形：</w:t>
            </w:r>
          </w:p>
          <w:p>
            <w:pPr>
              <w:pStyle w:val="56"/>
              <w:adjustRightInd w:val="0"/>
              <w:snapToGrid w:val="0"/>
              <w:spacing w:line="0" w:lineRule="atLeast"/>
              <w:ind w:firstLine="0" w:firstLineChars="0"/>
              <w:rPr>
                <w:rFonts w:hAnsi="宋体" w:cs="宋体"/>
                <w:color w:val="auto"/>
                <w:szCs w:val="20"/>
                <w:highlight w:val="none"/>
              </w:rPr>
            </w:pPr>
            <w:r>
              <w:rPr>
                <w:rFonts w:hint="eastAsia" w:hAnsi="宋体" w:cs="宋体"/>
                <w:color w:val="auto"/>
                <w:szCs w:val="20"/>
                <w:highlight w:val="none"/>
              </w:rPr>
              <w:t>1．投标人在投标有效期内撤销或修改其投标文件。</w:t>
            </w:r>
          </w:p>
          <w:p>
            <w:pPr>
              <w:pStyle w:val="56"/>
              <w:adjustRightInd w:val="0"/>
              <w:snapToGrid w:val="0"/>
              <w:spacing w:line="0" w:lineRule="atLeast"/>
              <w:ind w:firstLine="0" w:firstLineChars="0"/>
              <w:rPr>
                <w:rFonts w:hAnsi="宋体" w:cs="宋体"/>
                <w:color w:val="auto"/>
                <w:szCs w:val="20"/>
                <w:highlight w:val="none"/>
              </w:rPr>
            </w:pPr>
            <w:r>
              <w:rPr>
                <w:rFonts w:hint="eastAsia" w:hAnsi="宋体" w:cs="宋体"/>
                <w:color w:val="auto"/>
                <w:szCs w:val="20"/>
                <w:highlight w:val="none"/>
              </w:rPr>
              <w:t>2．中标人无正当理由不与招标人订立合同，或在签订合同时向招标人提出附加条件，或未按招标文件要求提交履约保证金的。</w:t>
            </w:r>
          </w:p>
          <w:p>
            <w:pPr>
              <w:pStyle w:val="56"/>
              <w:adjustRightInd w:val="0"/>
              <w:snapToGrid w:val="0"/>
              <w:spacing w:line="0" w:lineRule="atLeast"/>
              <w:ind w:firstLine="0" w:firstLineChars="0"/>
              <w:rPr>
                <w:rFonts w:hAnsi="宋体" w:cs="宋体"/>
                <w:color w:val="auto"/>
                <w:szCs w:val="20"/>
                <w:highlight w:val="none"/>
              </w:rPr>
            </w:pPr>
            <w:r>
              <w:rPr>
                <w:rFonts w:hint="eastAsia" w:hAnsi="宋体" w:cs="宋体"/>
                <w:color w:val="auto"/>
                <w:szCs w:val="20"/>
                <w:highlight w:val="none"/>
              </w:rPr>
              <w:t>3．经查实，投标人在投标过程中串通投标或弄虚作假的。</w:t>
            </w:r>
          </w:p>
          <w:p>
            <w:pPr>
              <w:pStyle w:val="56"/>
              <w:adjustRightInd w:val="0"/>
              <w:snapToGrid w:val="0"/>
              <w:spacing w:line="0" w:lineRule="atLeast"/>
              <w:ind w:firstLine="0" w:firstLineChars="0"/>
              <w:rPr>
                <w:rFonts w:hAnsi="宋体" w:cs="宋体"/>
                <w:color w:val="auto"/>
                <w:szCs w:val="20"/>
                <w:highlight w:val="none"/>
              </w:rPr>
            </w:pPr>
            <w:r>
              <w:rPr>
                <w:rFonts w:hint="eastAsia" w:hAnsi="宋体" w:cs="宋体"/>
                <w:color w:val="auto"/>
                <w:szCs w:val="20"/>
                <w:highlight w:val="none"/>
              </w:rPr>
              <w:t>4</w:t>
            </w:r>
            <w:bookmarkStart w:id="2" w:name="_Hlk82006863"/>
            <w:r>
              <w:rPr>
                <w:rFonts w:hint="eastAsia" w:hAnsi="宋体" w:cs="宋体"/>
                <w:color w:val="auto"/>
                <w:szCs w:val="20"/>
                <w:highlight w:val="none"/>
              </w:rPr>
              <w:t>．存在违反《招标投标法》第三十二条、第三十三条规定的违法情形的。</w:t>
            </w:r>
          </w:p>
          <w:p>
            <w:pPr>
              <w:pStyle w:val="56"/>
              <w:adjustRightInd w:val="0"/>
              <w:snapToGrid w:val="0"/>
              <w:spacing w:line="0" w:lineRule="atLeast"/>
              <w:ind w:firstLine="0" w:firstLineChars="0"/>
              <w:rPr>
                <w:rFonts w:hAnsi="宋体" w:cs="宋体"/>
                <w:color w:val="auto"/>
                <w:szCs w:val="20"/>
                <w:highlight w:val="none"/>
              </w:rPr>
            </w:pPr>
            <w:r>
              <w:rPr>
                <w:rFonts w:hint="eastAsia" w:hAnsi="宋体" w:cs="宋体"/>
                <w:color w:val="auto"/>
                <w:szCs w:val="20"/>
                <w:highlight w:val="none"/>
              </w:rPr>
              <w:t>5．招标文件等材料约定的不予退还的其他情形。</w:t>
            </w:r>
            <w:bookmarkEnd w:id="2"/>
          </w:p>
          <w:p>
            <w:pPr>
              <w:pStyle w:val="56"/>
              <w:adjustRightInd w:val="0"/>
              <w:snapToGrid w:val="0"/>
              <w:spacing w:line="0" w:lineRule="atLeast"/>
              <w:ind w:firstLine="0" w:firstLineChars="0"/>
              <w:rPr>
                <w:rFonts w:hAnsi="宋体" w:cs="宋体"/>
                <w:color w:val="auto"/>
                <w:szCs w:val="20"/>
                <w:highlight w:val="none"/>
              </w:rPr>
            </w:pPr>
            <w:r>
              <w:rPr>
                <w:rFonts w:hint="eastAsia" w:hAnsi="宋体" w:cs="宋体"/>
                <w:color w:val="auto"/>
                <w:szCs w:val="20"/>
                <w:highlight w:val="none"/>
              </w:rPr>
              <w:t>6．拟派项目负责人在投标截止日有在其他在建合同工程上担任项目负责人的情形。</w:t>
            </w:r>
          </w:p>
          <w:p>
            <w:pPr>
              <w:jc w:val="left"/>
              <w:rPr>
                <w:rFonts w:ascii="宋体" w:hAnsi="宋体" w:cs="宋体"/>
                <w:color w:val="auto"/>
                <w:sz w:val="20"/>
                <w:szCs w:val="20"/>
                <w:highlight w:val="none"/>
              </w:rPr>
            </w:pPr>
            <w:r>
              <w:rPr>
                <w:rFonts w:hint="eastAsia" w:ascii="宋体" w:hAnsi="宋体" w:cs="宋体"/>
                <w:color w:val="auto"/>
                <w:sz w:val="20"/>
                <w:szCs w:val="20"/>
                <w:highlight w:val="none"/>
              </w:rPr>
              <w:t>出现上述不予退还情形的，招标人告知交易中心登记后，平台将自动划转其投标保证金</w:t>
            </w:r>
            <w:r>
              <w:rPr>
                <w:rFonts w:hint="eastAsia" w:ascii="宋体" w:hAnsi="宋体" w:cs="宋体"/>
                <w:strike/>
                <w:color w:val="auto"/>
                <w:sz w:val="20"/>
                <w:szCs w:val="20"/>
                <w:highlight w:val="none"/>
              </w:rPr>
              <w:t>及银行同期存款利息至</w:t>
            </w:r>
            <w:r>
              <w:rPr>
                <w:rFonts w:hint="eastAsia" w:ascii="宋体" w:hAnsi="宋体" w:cs="宋体"/>
                <w:color w:val="auto"/>
                <w:sz w:val="20"/>
                <w:szCs w:val="20"/>
                <w:highlight w:val="none"/>
              </w:rPr>
              <w:t>招标人指定账户，不再退还给投标人。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13" w:hRule="atLeast"/>
        </w:trPr>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3.5</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资格审查资料</w:t>
            </w:r>
          </w:p>
        </w:tc>
        <w:tc>
          <w:tcPr>
            <w:tcW w:w="7447" w:type="dxa"/>
            <w:vAlign w:val="center"/>
          </w:tcPr>
          <w:p>
            <w:pPr>
              <w:pStyle w:val="56"/>
              <w:adjustRightInd w:val="0"/>
              <w:snapToGrid w:val="0"/>
              <w:spacing w:line="0" w:lineRule="atLeast"/>
              <w:ind w:firstLine="0" w:firstLineChars="0"/>
              <w:rPr>
                <w:color w:val="auto"/>
                <w:highlight w:val="none"/>
              </w:rPr>
            </w:pPr>
            <w:r>
              <w:rPr>
                <w:rFonts w:hint="eastAsia"/>
                <w:color w:val="auto"/>
                <w:highlight w:val="none"/>
              </w:rPr>
              <w:t>1、企业法人营业执照复印件。</w:t>
            </w:r>
          </w:p>
          <w:p>
            <w:pPr>
              <w:pStyle w:val="56"/>
              <w:adjustRightInd w:val="0"/>
              <w:snapToGrid w:val="0"/>
              <w:spacing w:line="0" w:lineRule="atLeast"/>
              <w:ind w:firstLine="0" w:firstLineChars="0"/>
              <w:rPr>
                <w:color w:val="auto"/>
                <w:highlight w:val="none"/>
              </w:rPr>
            </w:pPr>
            <w:r>
              <w:rPr>
                <w:rFonts w:hint="eastAsia"/>
                <w:color w:val="auto"/>
                <w:highlight w:val="none"/>
              </w:rPr>
              <w:t>2、资质证书、安全生产许可证复印件。</w:t>
            </w:r>
          </w:p>
          <w:p>
            <w:pPr>
              <w:pStyle w:val="56"/>
              <w:adjustRightInd w:val="0"/>
              <w:snapToGrid w:val="0"/>
              <w:spacing w:line="0" w:lineRule="atLeast"/>
              <w:ind w:firstLine="0" w:firstLineChars="0"/>
              <w:rPr>
                <w:color w:val="auto"/>
                <w:highlight w:val="none"/>
              </w:rPr>
            </w:pPr>
            <w:r>
              <w:rPr>
                <w:rFonts w:hint="eastAsia"/>
                <w:color w:val="auto"/>
                <w:highlight w:val="none"/>
              </w:rPr>
              <w:t>3、医疗器械经营许可证或医疗器械生产许可证复印件。</w:t>
            </w:r>
          </w:p>
          <w:p>
            <w:pPr>
              <w:pStyle w:val="56"/>
              <w:adjustRightInd w:val="0"/>
              <w:snapToGrid w:val="0"/>
              <w:spacing w:line="0" w:lineRule="atLeast"/>
              <w:ind w:firstLine="0" w:firstLineChars="0"/>
              <w:rPr>
                <w:color w:val="auto"/>
                <w:highlight w:val="none"/>
              </w:rPr>
            </w:pPr>
            <w:r>
              <w:rPr>
                <w:rFonts w:hint="eastAsia"/>
                <w:color w:val="auto"/>
                <w:highlight w:val="none"/>
              </w:rPr>
              <w:t>4、业绩证明材料的中标通知书（或合同）及验收证明的复印件。</w:t>
            </w:r>
          </w:p>
          <w:p>
            <w:pPr>
              <w:pStyle w:val="56"/>
              <w:adjustRightInd w:val="0"/>
              <w:snapToGrid w:val="0"/>
              <w:spacing w:line="0" w:lineRule="atLeast"/>
              <w:ind w:firstLine="0" w:firstLineChars="0"/>
              <w:rPr>
                <w:color w:val="auto"/>
                <w:highlight w:val="none"/>
              </w:rPr>
            </w:pPr>
            <w:r>
              <w:rPr>
                <w:rFonts w:hint="eastAsia"/>
                <w:color w:val="auto"/>
                <w:highlight w:val="none"/>
              </w:rPr>
              <w:t>5、浙江省外企业须提供浙江省住建厅备案证明或提供在“浙江省建筑市场监管公共服务系统”企业信息备案通过的网页截图（浙江省内企业不作要求）。</w:t>
            </w:r>
          </w:p>
          <w:p>
            <w:pPr>
              <w:pStyle w:val="56"/>
              <w:adjustRightInd w:val="0"/>
              <w:snapToGrid w:val="0"/>
              <w:spacing w:line="0" w:lineRule="atLeast"/>
              <w:ind w:firstLine="0" w:firstLineChars="0"/>
              <w:rPr>
                <w:color w:val="auto"/>
                <w:highlight w:val="none"/>
              </w:rPr>
            </w:pPr>
            <w:r>
              <w:rPr>
                <w:rFonts w:hint="eastAsia"/>
                <w:color w:val="auto"/>
                <w:highlight w:val="none"/>
              </w:rPr>
              <w:t>6、项目负责人注册证书、安全生产考核合格证、社保证明复印件。</w:t>
            </w:r>
          </w:p>
          <w:p>
            <w:pPr>
              <w:pStyle w:val="56"/>
              <w:adjustRightInd w:val="0"/>
              <w:snapToGrid w:val="0"/>
              <w:spacing w:line="0" w:lineRule="atLeast"/>
              <w:ind w:firstLine="0" w:firstLineChars="0"/>
              <w:rPr>
                <w:color w:val="auto"/>
                <w:highlight w:val="none"/>
              </w:rPr>
            </w:pPr>
            <w:r>
              <w:rPr>
                <w:rFonts w:hint="eastAsia"/>
                <w:color w:val="auto"/>
                <w:highlight w:val="none"/>
              </w:rPr>
              <w:t>7、联合体协议书（如有）。</w:t>
            </w:r>
          </w:p>
          <w:p>
            <w:pPr>
              <w:pStyle w:val="56"/>
              <w:adjustRightInd w:val="0"/>
              <w:snapToGrid w:val="0"/>
              <w:spacing w:line="0" w:lineRule="atLeast"/>
              <w:ind w:firstLine="0" w:firstLineChars="0"/>
              <w:rPr>
                <w:color w:val="auto"/>
                <w:highlight w:val="none"/>
              </w:rPr>
            </w:pPr>
            <w:r>
              <w:rPr>
                <w:rFonts w:hint="eastAsia"/>
                <w:color w:val="auto"/>
                <w:highlight w:val="none"/>
              </w:rPr>
              <w:t>8、承诺书（①承诺对资格审查资料所有提交的证明材料真实有效性负责，若发现其有伪造证书、业绩等行为的，同意招标人不接受其投标，其缴纳的投标保证金不予退还；②承诺企业和项目负责人近 5年内无行贿犯罪记录；③承诺项目负责人无在建工程。）格式自拟，加盖投标人公章。</w:t>
            </w:r>
          </w:p>
          <w:p>
            <w:pPr>
              <w:pStyle w:val="56"/>
              <w:adjustRightInd w:val="0"/>
              <w:snapToGrid w:val="0"/>
              <w:spacing w:line="0" w:lineRule="atLeast"/>
              <w:ind w:firstLine="0" w:firstLineChars="0"/>
              <w:rPr>
                <w:color w:val="auto"/>
                <w:highlight w:val="none"/>
              </w:rPr>
            </w:pPr>
            <w:r>
              <w:rPr>
                <w:rFonts w:hint="eastAsia"/>
                <w:b/>
                <w:bCs/>
                <w:color w:val="auto"/>
                <w:highlight w:val="none"/>
              </w:rPr>
              <w:t>注：</w:t>
            </w:r>
            <w:r>
              <w:rPr>
                <w:rFonts w:hint="eastAsia"/>
                <w:color w:val="auto"/>
                <w:highlight w:val="none"/>
              </w:rPr>
              <w:t>不能提供上述材料任何一项或不符合审查要求的投标人为资格审查不合格。</w:t>
            </w:r>
          </w:p>
          <w:p>
            <w:pPr>
              <w:pStyle w:val="56"/>
              <w:adjustRightInd w:val="0"/>
              <w:snapToGrid w:val="0"/>
              <w:spacing w:line="0" w:lineRule="atLeast"/>
              <w:ind w:firstLine="0" w:firstLineChars="0"/>
              <w:rPr>
                <w:color w:val="auto"/>
                <w:highlight w:val="none"/>
              </w:rPr>
            </w:pPr>
            <w:r>
              <w:rPr>
                <w:rFonts w:hint="eastAsia"/>
                <w:color w:val="auto"/>
                <w:highlight w:val="none"/>
              </w:rPr>
              <w:t>若是联合体投标的，联合体牵头人须提供上述第1-8点内容；联合体其他成员单位提供上述第1、2、5点内容；第7点内容由牵头人提供，但必须由联合体各方盖章。</w:t>
            </w:r>
          </w:p>
          <w:p>
            <w:pPr>
              <w:pStyle w:val="56"/>
              <w:adjustRightInd w:val="0"/>
              <w:snapToGrid w:val="0"/>
              <w:spacing w:line="0" w:lineRule="atLeast"/>
              <w:ind w:firstLine="0" w:firstLineChars="0"/>
              <w:rPr>
                <w:color w:val="auto"/>
                <w:highlight w:val="none"/>
              </w:rPr>
            </w:pPr>
            <w:r>
              <w:rPr>
                <w:rFonts w:hint="eastAsia"/>
                <w:b/>
                <w:bCs/>
                <w:color w:val="auto"/>
                <w:highlight w:val="none"/>
              </w:rPr>
              <w:t>※备注：</w:t>
            </w:r>
            <w:r>
              <w:rPr>
                <w:rFonts w:hint="eastAsia" w:ascii="宋体" w:hAnsi="???|CS?o｡ﾀ?" w:eastAsia="宋体" w:cs="Times New Roman"/>
                <w:b w:val="0"/>
                <w:bCs w:val="0"/>
                <w:sz w:val="20"/>
                <w:szCs w:val="28"/>
                <w:u w:val="none"/>
              </w:rPr>
              <w:t>项目负责人为一级注册建造师的，则需提供电子注册证书，并在个人签名处手写本人签名，未手写签名或与签名图像笔迹不一致的，该电子证书无效</w:t>
            </w:r>
            <w:r>
              <w:rPr>
                <w:rFonts w:hint="eastAsia" w:ascii="宋体" w:eastAsia="宋体" w:cs="Times New Roman"/>
                <w:b w:val="0"/>
                <w:bCs w:val="0"/>
                <w:u w:val="none"/>
              </w:rPr>
              <w:t>，资格审查不予通过</w:t>
            </w:r>
            <w:r>
              <w:rPr>
                <w:rFonts w:hint="eastAsia"/>
                <w:b/>
                <w:bCs/>
                <w:color w:val="auto"/>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3.5.2</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近年财务状况的年份要求</w:t>
            </w:r>
          </w:p>
        </w:tc>
        <w:tc>
          <w:tcPr>
            <w:tcW w:w="7447" w:type="dxa"/>
            <w:vAlign w:val="center"/>
          </w:tcPr>
          <w:p>
            <w:pPr>
              <w:jc w:val="left"/>
              <w:rPr>
                <w:rFonts w:ascii="宋体" w:hAnsi="宋体" w:cs="宋体"/>
                <w:color w:val="auto"/>
                <w:sz w:val="20"/>
                <w:szCs w:val="20"/>
                <w:highlight w:val="none"/>
              </w:rPr>
            </w:pPr>
            <w:r>
              <w:rPr>
                <w:rFonts w:hint="eastAsia" w:ascii="宋体" w:hAnsi="宋体" w:cs="宋体"/>
                <w:color w:val="auto"/>
                <w:sz w:val="20"/>
                <w:szCs w:val="20"/>
                <w:highlight w:val="none"/>
              </w:rPr>
              <w:t>不作要求。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3.5.3</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近年完成的类似项目的年份要求</w:t>
            </w:r>
          </w:p>
        </w:tc>
        <w:tc>
          <w:tcPr>
            <w:tcW w:w="7447" w:type="dxa"/>
            <w:vAlign w:val="center"/>
          </w:tcPr>
          <w:p>
            <w:pPr>
              <w:widowControl/>
              <w:jc w:val="left"/>
              <w:rPr>
                <w:rFonts w:ascii="宋体" w:hAnsi="宋体" w:cs="宋体"/>
                <w:color w:val="auto"/>
                <w:sz w:val="20"/>
                <w:szCs w:val="20"/>
                <w:highlight w:val="none"/>
              </w:rPr>
            </w:pPr>
            <w:r>
              <w:rPr>
                <w:rFonts w:hint="eastAsia" w:ascii="宋体" w:hAnsi="宋体" w:cs="宋体"/>
                <w:color w:val="auto"/>
                <w:sz w:val="20"/>
                <w:szCs w:val="20"/>
                <w:highlight w:val="none"/>
                <w:lang w:bidi="ar"/>
              </w:rPr>
              <w:t>详见投标人资格要求和资信、技术评审标准。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3.5.5</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近年发生的重大诉讼及仲裁情况的年份要求</w:t>
            </w:r>
          </w:p>
        </w:tc>
        <w:tc>
          <w:tcPr>
            <w:tcW w:w="7447" w:type="dxa"/>
            <w:vAlign w:val="center"/>
          </w:tcPr>
          <w:p>
            <w:pPr>
              <w:jc w:val="left"/>
              <w:rPr>
                <w:rFonts w:ascii="宋体" w:hAnsi="宋体" w:cs="宋体"/>
                <w:color w:val="auto"/>
                <w:sz w:val="20"/>
                <w:szCs w:val="20"/>
                <w:highlight w:val="none"/>
              </w:rPr>
            </w:pPr>
            <w:r>
              <w:rPr>
                <w:rFonts w:hint="eastAsia" w:ascii="宋体" w:hAnsi="宋体" w:cs="宋体"/>
                <w:color w:val="auto"/>
                <w:sz w:val="20"/>
                <w:szCs w:val="20"/>
                <w:highlight w:val="none"/>
              </w:rPr>
              <w:t>不作要求。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3.6</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是否允许递交备选投标方案</w:t>
            </w:r>
          </w:p>
        </w:tc>
        <w:tc>
          <w:tcPr>
            <w:tcW w:w="7447" w:type="dxa"/>
            <w:vAlign w:val="center"/>
          </w:tcPr>
          <w:p>
            <w:pPr>
              <w:jc w:val="left"/>
              <w:rPr>
                <w:rFonts w:ascii="宋体" w:hAnsi="宋体" w:cs="宋体"/>
                <w:color w:val="auto"/>
                <w:sz w:val="20"/>
                <w:szCs w:val="20"/>
                <w:highlight w:val="none"/>
              </w:rPr>
            </w:pPr>
            <w:r>
              <w:rPr>
                <w:rFonts w:hint="eastAsia" w:ascii="宋体" w:hAnsi="宋体" w:cs="宋体"/>
                <w:color w:val="auto"/>
                <w:sz w:val="20"/>
                <w:szCs w:val="20"/>
                <w:highlight w:val="none"/>
              </w:rPr>
              <w:t>■不允许。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3.7.3</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签字或盖章要求</w:t>
            </w:r>
          </w:p>
        </w:tc>
        <w:tc>
          <w:tcPr>
            <w:tcW w:w="7447" w:type="dxa"/>
            <w:vAlign w:val="center"/>
          </w:tcPr>
          <w:p>
            <w:pPr>
              <w:jc w:val="left"/>
              <w:rPr>
                <w:rFonts w:ascii="宋体" w:hAnsi="宋体" w:cs="宋体"/>
                <w:color w:val="auto"/>
                <w:sz w:val="20"/>
                <w:szCs w:val="20"/>
                <w:highlight w:val="none"/>
              </w:rPr>
            </w:pPr>
            <w:r>
              <w:rPr>
                <w:rFonts w:hint="eastAsia" w:ascii="宋体" w:hAnsi="宋体" w:cs="宋体"/>
                <w:color w:val="auto"/>
                <w:sz w:val="20"/>
                <w:szCs w:val="20"/>
                <w:highlight w:val="none"/>
              </w:rPr>
              <w:t>纸质投标文件签字或盖章要求详见招标文件格式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3.7.4</w:t>
            </w:r>
          </w:p>
        </w:tc>
        <w:tc>
          <w:tcPr>
            <w:tcW w:w="1560" w:type="dxa"/>
            <w:vAlign w:val="center"/>
          </w:tcPr>
          <w:p>
            <w:pPr>
              <w:pStyle w:val="56"/>
              <w:adjustRightInd w:val="0"/>
              <w:snapToGrid w:val="0"/>
              <w:spacing w:line="0" w:lineRule="atLeast"/>
              <w:ind w:right="241" w:rightChars="115" w:firstLine="0" w:firstLineChars="0"/>
              <w:jc w:val="center"/>
              <w:rPr>
                <w:rFonts w:hAnsi="宋体" w:cs="宋体"/>
                <w:color w:val="auto"/>
                <w:szCs w:val="20"/>
                <w:highlight w:val="none"/>
              </w:rPr>
            </w:pPr>
            <w:r>
              <w:rPr>
                <w:rFonts w:hint="eastAsia" w:hAnsi="宋体" w:cs="宋体"/>
                <w:color w:val="auto"/>
                <w:szCs w:val="20"/>
                <w:highlight w:val="none"/>
              </w:rPr>
              <w:t>投标文件份数</w:t>
            </w:r>
          </w:p>
        </w:tc>
        <w:tc>
          <w:tcPr>
            <w:tcW w:w="7447" w:type="dxa"/>
            <w:vAlign w:val="center"/>
          </w:tcPr>
          <w:p>
            <w:pPr>
              <w:jc w:val="left"/>
              <w:rPr>
                <w:rFonts w:ascii="宋体" w:hAnsi="宋体" w:cs="宋体"/>
                <w:color w:val="auto"/>
                <w:sz w:val="20"/>
                <w:szCs w:val="20"/>
                <w:highlight w:val="none"/>
              </w:rPr>
            </w:pPr>
            <w:r>
              <w:rPr>
                <w:rFonts w:hint="eastAsia" w:ascii="宋体" w:hAnsi="宋体" w:cs="宋体"/>
                <w:color w:val="auto"/>
                <w:sz w:val="20"/>
                <w:szCs w:val="20"/>
                <w:highlight w:val="none"/>
              </w:rPr>
              <w:t>一正陆副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3.7.5</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装订要求</w:t>
            </w:r>
          </w:p>
        </w:tc>
        <w:tc>
          <w:tcPr>
            <w:tcW w:w="7447" w:type="dxa"/>
            <w:vAlign w:val="center"/>
          </w:tcPr>
          <w:p>
            <w:pPr>
              <w:jc w:val="left"/>
              <w:rPr>
                <w:rFonts w:ascii="宋体" w:hAnsi="宋体" w:cs="宋体"/>
                <w:color w:val="auto"/>
                <w:sz w:val="20"/>
                <w:szCs w:val="20"/>
                <w:highlight w:val="none"/>
              </w:rPr>
            </w:pPr>
            <w:r>
              <w:rPr>
                <w:rFonts w:hint="eastAsia" w:ascii="宋体" w:hAnsi="宋体" w:cs="宋体"/>
                <w:color w:val="auto"/>
                <w:sz w:val="20"/>
                <w:szCs w:val="20"/>
                <w:highlight w:val="none"/>
              </w:rPr>
              <w:t>应装订成册，不得采用活页夹，并编制目录和页码。注：投标文件资格审查资料、技术标、商务标分别按招标文件格式要求统一装订成册。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4.1.1</w:t>
            </w:r>
          </w:p>
        </w:tc>
        <w:tc>
          <w:tcPr>
            <w:tcW w:w="1560" w:type="dxa"/>
            <w:vAlign w:val="center"/>
          </w:tcPr>
          <w:p>
            <w:pPr>
              <w:jc w:val="center"/>
              <w:rPr>
                <w:rFonts w:ascii="宋体" w:hAnsi="宋体" w:cs="宋体"/>
                <w:color w:val="auto"/>
                <w:sz w:val="20"/>
                <w:szCs w:val="20"/>
                <w:highlight w:val="none"/>
              </w:rPr>
            </w:pPr>
            <w:r>
              <w:rPr>
                <w:rFonts w:hint="eastAsia" w:ascii="宋体" w:hAnsi="宋体" w:cs="宋体"/>
                <w:bCs/>
                <w:iCs/>
                <w:color w:val="auto"/>
                <w:kern w:val="2"/>
                <w:sz w:val="20"/>
                <w:szCs w:val="20"/>
                <w:highlight w:val="none"/>
              </w:rPr>
              <w:t>投标文件的外包装和密封要求</w:t>
            </w:r>
          </w:p>
        </w:tc>
        <w:tc>
          <w:tcPr>
            <w:tcW w:w="7447" w:type="dxa"/>
            <w:vAlign w:val="center"/>
          </w:tcPr>
          <w:p>
            <w:pPr>
              <w:jc w:val="left"/>
              <w:rPr>
                <w:rFonts w:ascii="宋体" w:hAnsi="宋体" w:cs="宋体"/>
                <w:color w:val="auto"/>
                <w:sz w:val="20"/>
                <w:szCs w:val="20"/>
                <w:highlight w:val="none"/>
              </w:rPr>
            </w:pPr>
            <w:r>
              <w:rPr>
                <w:rFonts w:hint="eastAsia" w:ascii="宋体" w:hAnsi="宋体" w:cs="宋体"/>
                <w:b/>
                <w:iCs/>
                <w:color w:val="auto"/>
                <w:kern w:val="2"/>
                <w:sz w:val="20"/>
                <w:szCs w:val="20"/>
                <w:highlight w:val="none"/>
              </w:rPr>
              <w:t>投标文件的正本副本统一包装在一个密封袋内，</w:t>
            </w:r>
            <w:r>
              <w:rPr>
                <w:rFonts w:hint="eastAsia" w:ascii="宋体" w:hAnsi="宋体" w:cs="宋体"/>
                <w:color w:val="auto"/>
                <w:sz w:val="20"/>
                <w:szCs w:val="20"/>
                <w:highlight w:val="none"/>
              </w:rPr>
              <w:t>资格审查资料、技术标、商务标分别密封包装，</w:t>
            </w:r>
            <w:r>
              <w:rPr>
                <w:rFonts w:hint="eastAsia" w:ascii="宋体" w:hAnsi="宋体" w:cs="宋体"/>
                <w:b/>
                <w:iCs/>
                <w:color w:val="auto"/>
                <w:kern w:val="2"/>
                <w:sz w:val="20"/>
                <w:szCs w:val="20"/>
                <w:highlight w:val="none"/>
              </w:rPr>
              <w:t>并在密封袋封口处加盖单位章。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4.1.2</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封套上写明</w:t>
            </w:r>
          </w:p>
        </w:tc>
        <w:tc>
          <w:tcPr>
            <w:tcW w:w="7447" w:type="dxa"/>
            <w:vAlign w:val="center"/>
          </w:tcPr>
          <w:p>
            <w:pPr>
              <w:ind w:right="241"/>
              <w:rPr>
                <w:rFonts w:ascii="宋体" w:hAnsi="宋体" w:cs="宋体"/>
                <w:color w:val="auto"/>
                <w:sz w:val="20"/>
                <w:szCs w:val="20"/>
                <w:highlight w:val="none"/>
              </w:rPr>
            </w:pPr>
            <w:r>
              <w:rPr>
                <w:rFonts w:hint="eastAsia" w:ascii="宋体" w:hAnsi="宋体" w:cs="宋体"/>
                <w:color w:val="auto"/>
                <w:sz w:val="20"/>
                <w:szCs w:val="20"/>
                <w:highlight w:val="none"/>
              </w:rPr>
              <w:t>招标人地址：</w:t>
            </w:r>
            <w:r>
              <w:rPr>
                <w:rFonts w:hint="eastAsia" w:ascii="宋体" w:hAnsi="宋体" w:cs="宋体"/>
                <w:b/>
                <w:color w:val="auto"/>
                <w:sz w:val="20"/>
                <w:szCs w:val="20"/>
                <w:highlight w:val="none"/>
                <w:u w:val="single"/>
              </w:rPr>
              <w:t>绍兴市柯桥区柯桥经济开发区鉴湖路</w:t>
            </w:r>
          </w:p>
          <w:p>
            <w:pPr>
              <w:ind w:right="241"/>
              <w:rPr>
                <w:rFonts w:ascii="宋体" w:hAnsi="宋体" w:cs="宋体"/>
                <w:color w:val="auto"/>
                <w:sz w:val="20"/>
                <w:szCs w:val="20"/>
                <w:highlight w:val="none"/>
              </w:rPr>
            </w:pPr>
            <w:r>
              <w:rPr>
                <w:rFonts w:hint="eastAsia" w:ascii="宋体" w:hAnsi="宋体" w:cs="宋体"/>
                <w:color w:val="auto"/>
                <w:sz w:val="20"/>
                <w:szCs w:val="20"/>
                <w:highlight w:val="none"/>
              </w:rPr>
              <w:t>招标人名称：</w:t>
            </w:r>
            <w:r>
              <w:rPr>
                <w:rFonts w:hint="eastAsia" w:ascii="宋体" w:hAnsi="宋体" w:cs="宋体"/>
                <w:b/>
                <w:color w:val="auto"/>
                <w:sz w:val="20"/>
                <w:szCs w:val="20"/>
                <w:highlight w:val="none"/>
                <w:u w:val="single"/>
              </w:rPr>
              <w:t>浙江精工钢结构集团有限公司</w:t>
            </w:r>
          </w:p>
          <w:p>
            <w:pPr>
              <w:jc w:val="left"/>
              <w:rPr>
                <w:rFonts w:hint="eastAsia" w:ascii="宋体" w:hAnsi="宋体" w:cs="宋体"/>
                <w:color w:val="auto"/>
                <w:sz w:val="20"/>
                <w:szCs w:val="20"/>
                <w:highlight w:val="none"/>
              </w:rPr>
            </w:pPr>
            <w:r>
              <w:rPr>
                <w:rFonts w:hint="eastAsia" w:ascii="宋体" w:hAnsi="宋体" w:cs="宋体"/>
                <w:b/>
                <w:bCs/>
                <w:color w:val="auto"/>
                <w:sz w:val="20"/>
                <w:szCs w:val="20"/>
                <w:highlight w:val="none"/>
                <w:u w:val="single"/>
              </w:rPr>
              <w:t>绍兴市妇幼保健院（绍兴市儿童医院）建设项目净化项目</w:t>
            </w:r>
            <w:r>
              <w:rPr>
                <w:rFonts w:hint="eastAsia" w:ascii="宋体" w:hAnsi="宋体" w:cs="宋体"/>
                <w:color w:val="auto"/>
                <w:sz w:val="20"/>
                <w:szCs w:val="20"/>
                <w:highlight w:val="none"/>
              </w:rPr>
              <w:t>投标文件，</w:t>
            </w:r>
          </w:p>
          <w:p>
            <w:pPr>
              <w:jc w:val="left"/>
              <w:rPr>
                <w:rFonts w:ascii="宋体" w:hAnsi="宋体" w:cs="宋体"/>
                <w:color w:val="auto"/>
                <w:sz w:val="20"/>
                <w:szCs w:val="20"/>
                <w:highlight w:val="none"/>
              </w:rPr>
            </w:pPr>
            <w:r>
              <w:rPr>
                <w:rFonts w:hint="eastAsia" w:ascii="宋体" w:hAnsi="宋体" w:cs="宋体"/>
                <w:color w:val="auto"/>
                <w:sz w:val="20"/>
                <w:szCs w:val="20"/>
                <w:highlight w:val="none"/>
              </w:rPr>
              <w:t>在2022年  月  日  时  分前不得开启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4.2.2</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递交投标文件方式和地点</w:t>
            </w:r>
          </w:p>
        </w:tc>
        <w:tc>
          <w:tcPr>
            <w:tcW w:w="7447" w:type="dxa"/>
            <w:vAlign w:val="center"/>
          </w:tcPr>
          <w:p>
            <w:pPr>
              <w:rPr>
                <w:rFonts w:ascii="宋体" w:hAnsi="宋体" w:cs="宋体"/>
                <w:color w:val="auto"/>
                <w:sz w:val="20"/>
                <w:szCs w:val="20"/>
                <w:highlight w:val="none"/>
              </w:rPr>
            </w:pPr>
            <w:r>
              <w:rPr>
                <w:rFonts w:hint="eastAsia" w:ascii="宋体" w:hAnsi="宋体" w:cs="宋体"/>
                <w:color w:val="auto"/>
                <w:sz w:val="20"/>
                <w:szCs w:val="20"/>
                <w:highlight w:val="none"/>
              </w:rPr>
              <w:t>本项目采用“不见面”开标方式，不强制要求投标人参加现场开标会。</w:t>
            </w:r>
          </w:p>
          <w:p>
            <w:pPr>
              <w:jc w:val="left"/>
              <w:rPr>
                <w:rFonts w:ascii="宋体" w:hAnsi="宋体" w:cs="宋体"/>
                <w:color w:val="auto"/>
                <w:sz w:val="20"/>
                <w:szCs w:val="20"/>
                <w:highlight w:val="none"/>
              </w:rPr>
            </w:pPr>
            <w:r>
              <w:rPr>
                <w:rFonts w:hint="eastAsia" w:ascii="宋体" w:hAnsi="宋体" w:cs="宋体"/>
                <w:color w:val="auto"/>
                <w:sz w:val="20"/>
                <w:szCs w:val="20"/>
                <w:highlight w:val="none"/>
              </w:rPr>
              <w:t>本项目采用投标人现场递交或邮寄投标文件递交。采用现场递交的，将密封的投标文件在开标当日09:00时至09:30时递交至绍兴市公共资源交易中心四楼指定开标室，投标文件递交后即交即走。采用邮寄投标文件递交的，将密封的投标文件在开标当日09:30时前（以签收时间为准）邮寄至绍兴市公共资源交易中心（地址：绍兴市迪荡新城惠利街20号，鼎盛时代大厦，绍兴市公共资源交易中心四楼，收件人：严勇为，电话0575-88127872，建议选择对邮寄物品较为负责且能认真派件到收件人的快递公司邮寄投标文件）。投标人在开标现场不需要书面签字确认等有关操作。</w:t>
            </w:r>
          </w:p>
          <w:p>
            <w:pPr>
              <w:rPr>
                <w:rFonts w:ascii="宋体" w:hAnsi="宋体" w:cs="宋体"/>
                <w:color w:val="auto"/>
                <w:sz w:val="20"/>
                <w:szCs w:val="20"/>
                <w:highlight w:val="none"/>
              </w:rPr>
            </w:pPr>
            <w:r>
              <w:rPr>
                <w:rFonts w:hint="eastAsia" w:ascii="宋体" w:hAnsi="宋体" w:cs="宋体"/>
                <w:color w:val="auto"/>
                <w:sz w:val="20"/>
                <w:szCs w:val="20"/>
                <w:highlight w:val="none"/>
              </w:rPr>
              <w:t>采用投标人现场递交或邮寄投标文件递交的，须在投标文件包装最外层（采用邮寄的，在邮寄外包装最外层）注明所投项目全称、投标人全称(加盖公章)、联系人、联系电话等信息；因外包装信息不全或未加盖投标人公章导致的投标失败，其责任由投标人自行承担。</w:t>
            </w:r>
          </w:p>
          <w:p>
            <w:pPr>
              <w:jc w:val="left"/>
              <w:rPr>
                <w:rFonts w:ascii="宋体" w:hAnsi="宋体" w:cs="宋体"/>
                <w:color w:val="auto"/>
                <w:sz w:val="20"/>
                <w:szCs w:val="20"/>
                <w:highlight w:val="none"/>
              </w:rPr>
            </w:pPr>
            <w:r>
              <w:rPr>
                <w:rFonts w:hint="eastAsia" w:ascii="宋体" w:hAnsi="宋体" w:cs="宋体"/>
                <w:color w:val="auto"/>
                <w:sz w:val="20"/>
                <w:szCs w:val="20"/>
                <w:highlight w:val="none"/>
              </w:rPr>
              <w:t>注：（1）因邮寄过程中出现投标文件包封破损、文件丢失、文件送达时间延误等引起投标文件无法按时按要求送达的，其责任由投标人自行承担；（2）接收快递方仅对邮寄外包装负责，对于外包装内部的密封情况由投标人自行承担责任。</w:t>
            </w:r>
          </w:p>
          <w:p>
            <w:pPr>
              <w:jc w:val="left"/>
              <w:rPr>
                <w:rFonts w:ascii="宋体" w:hAnsi="宋体" w:cs="宋体"/>
                <w:color w:val="auto"/>
                <w:sz w:val="20"/>
                <w:szCs w:val="20"/>
                <w:highlight w:val="none"/>
              </w:rPr>
            </w:pPr>
            <w:r>
              <w:rPr>
                <w:rFonts w:hint="eastAsia" w:ascii="宋体" w:hAnsi="宋体" w:cs="宋体"/>
                <w:color w:val="auto"/>
                <w:sz w:val="20"/>
                <w:szCs w:val="20"/>
                <w:highlight w:val="none"/>
              </w:rPr>
              <w:t>投标人的法定代表人或授权委托人、项目总监等均可不参加开标会议。若投标人法定代表人或授权委托人不在现场参加开标会议的，投标人需向招标代理机构人员告知联系方式，以备询标等事宜。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4.2.3</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是否退还投标文件</w:t>
            </w:r>
          </w:p>
        </w:tc>
        <w:tc>
          <w:tcPr>
            <w:tcW w:w="7447" w:type="dxa"/>
            <w:vAlign w:val="center"/>
          </w:tcPr>
          <w:p>
            <w:pPr>
              <w:jc w:val="left"/>
              <w:rPr>
                <w:rFonts w:ascii="宋体" w:hAnsi="宋体" w:cs="宋体"/>
                <w:color w:val="auto"/>
                <w:sz w:val="20"/>
                <w:szCs w:val="20"/>
                <w:highlight w:val="none"/>
              </w:rPr>
            </w:pPr>
            <w:r>
              <w:rPr>
                <w:rFonts w:hint="eastAsia" w:ascii="宋体" w:hAnsi="宋体" w:cs="宋体"/>
                <w:color w:val="auto"/>
                <w:sz w:val="20"/>
                <w:szCs w:val="20"/>
                <w:highlight w:val="none"/>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4.2.5</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投标文件的拒收情形</w:t>
            </w:r>
          </w:p>
        </w:tc>
        <w:tc>
          <w:tcPr>
            <w:tcW w:w="7447" w:type="dxa"/>
            <w:vAlign w:val="center"/>
          </w:tcPr>
          <w:p>
            <w:pPr>
              <w:pStyle w:val="56"/>
              <w:adjustRightInd w:val="0"/>
              <w:snapToGrid w:val="0"/>
              <w:spacing w:line="0" w:lineRule="atLeast"/>
              <w:ind w:right="241" w:rightChars="115" w:firstLine="0" w:firstLineChars="0"/>
              <w:rPr>
                <w:rFonts w:hAnsi="宋体" w:cs="宋体"/>
                <w:color w:val="auto"/>
                <w:szCs w:val="20"/>
                <w:highlight w:val="none"/>
              </w:rPr>
            </w:pPr>
            <w:r>
              <w:rPr>
                <w:rFonts w:hint="eastAsia" w:hAnsi="宋体" w:cs="宋体"/>
                <w:color w:val="auto"/>
                <w:szCs w:val="20"/>
                <w:highlight w:val="none"/>
              </w:rPr>
              <w:t>一、未密封的投标文件。</w:t>
            </w:r>
          </w:p>
          <w:p>
            <w:pPr>
              <w:rPr>
                <w:rFonts w:ascii="宋体" w:hAnsi="宋体" w:cs="宋体"/>
                <w:color w:val="auto"/>
                <w:sz w:val="20"/>
                <w:szCs w:val="20"/>
                <w:highlight w:val="none"/>
              </w:rPr>
            </w:pPr>
            <w:r>
              <w:rPr>
                <w:rFonts w:hint="eastAsia" w:ascii="宋体" w:hAnsi="宋体" w:cs="宋体"/>
                <w:color w:val="auto"/>
                <w:sz w:val="20"/>
                <w:szCs w:val="20"/>
                <w:highlight w:val="none"/>
              </w:rPr>
              <w:t>二、逾期送达的或者未送达指定地点的投标文件。</w:t>
            </w:r>
          </w:p>
          <w:p>
            <w:pPr>
              <w:pStyle w:val="56"/>
              <w:adjustRightInd w:val="0"/>
              <w:snapToGrid w:val="0"/>
              <w:spacing w:line="0" w:lineRule="atLeast"/>
              <w:ind w:right="241" w:rightChars="115" w:firstLine="0" w:firstLineChars="0"/>
              <w:rPr>
                <w:rFonts w:hAnsi="宋体" w:cs="宋体"/>
                <w:color w:val="auto"/>
                <w:szCs w:val="20"/>
                <w:highlight w:val="none"/>
              </w:rPr>
            </w:pPr>
            <w:r>
              <w:rPr>
                <w:rFonts w:hint="eastAsia" w:hAnsi="宋体" w:cs="宋体"/>
                <w:color w:val="auto"/>
                <w:szCs w:val="20"/>
                <w:highlight w:val="none"/>
              </w:rPr>
              <w:t>三、投标保证金未缴纳的。</w:t>
            </w:r>
          </w:p>
          <w:p>
            <w:pPr>
              <w:pStyle w:val="56"/>
              <w:adjustRightInd w:val="0"/>
              <w:snapToGrid w:val="0"/>
              <w:spacing w:line="0" w:lineRule="atLeast"/>
              <w:ind w:right="241" w:rightChars="115" w:firstLine="0" w:firstLineChars="0"/>
              <w:rPr>
                <w:rFonts w:hAnsi="宋体" w:cs="宋体"/>
                <w:strike/>
                <w:color w:val="auto"/>
                <w:szCs w:val="20"/>
                <w:highlight w:val="none"/>
              </w:rPr>
            </w:pPr>
            <w:r>
              <w:rPr>
                <w:rFonts w:hint="eastAsia" w:hAnsi="宋体" w:cs="宋体"/>
                <w:strike/>
                <w:color w:val="auto"/>
                <w:szCs w:val="20"/>
                <w:highlight w:val="none"/>
              </w:rPr>
              <w:t>四、未按规定缴纳招标文件工本费的。</w:t>
            </w:r>
          </w:p>
          <w:p>
            <w:pPr>
              <w:jc w:val="left"/>
              <w:rPr>
                <w:rFonts w:ascii="宋体" w:hAnsi="宋体" w:cs="宋体"/>
                <w:color w:val="auto"/>
                <w:sz w:val="20"/>
                <w:szCs w:val="20"/>
                <w:highlight w:val="none"/>
              </w:rPr>
            </w:pPr>
            <w:r>
              <w:rPr>
                <w:rFonts w:hint="eastAsia" w:ascii="宋体" w:hAnsi="宋体" w:cs="宋体"/>
                <w:color w:val="auto"/>
                <w:sz w:val="20"/>
                <w:szCs w:val="20"/>
                <w:highlight w:val="none"/>
              </w:rPr>
              <w:t>☑五、递交的纸质投标文件未密封或外包装没有投标人标识的，当场拒收，视为未递交纸质投标文件。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5.1</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开标时间、开标地点、参加开标会议的要求</w:t>
            </w:r>
          </w:p>
        </w:tc>
        <w:tc>
          <w:tcPr>
            <w:tcW w:w="7447" w:type="dxa"/>
            <w:vAlign w:val="center"/>
          </w:tcPr>
          <w:p>
            <w:pPr>
              <w:rPr>
                <w:rFonts w:ascii="宋体" w:hAnsi="宋体" w:cs="宋体"/>
                <w:color w:val="auto"/>
                <w:sz w:val="20"/>
                <w:szCs w:val="20"/>
                <w:highlight w:val="none"/>
              </w:rPr>
            </w:pPr>
            <w:r>
              <w:rPr>
                <w:rFonts w:hint="eastAsia" w:ascii="宋体" w:hAnsi="宋体" w:cs="宋体"/>
                <w:color w:val="auto"/>
                <w:sz w:val="20"/>
                <w:szCs w:val="20"/>
                <w:highlight w:val="none"/>
              </w:rPr>
              <w:t>一、开标时间：同投标截止时间。</w:t>
            </w:r>
          </w:p>
          <w:p>
            <w:pPr>
              <w:rPr>
                <w:rFonts w:ascii="宋体" w:hAnsi="宋体" w:cs="宋体"/>
                <w:color w:val="auto"/>
                <w:sz w:val="20"/>
                <w:szCs w:val="20"/>
                <w:highlight w:val="none"/>
              </w:rPr>
            </w:pPr>
            <w:r>
              <w:rPr>
                <w:rFonts w:hint="eastAsia" w:ascii="宋体" w:hAnsi="宋体" w:cs="宋体"/>
                <w:color w:val="auto"/>
                <w:sz w:val="20"/>
                <w:szCs w:val="20"/>
                <w:highlight w:val="none"/>
              </w:rPr>
              <w:t>二、开标地点：绍兴市公共资源交易中心指定开标室。</w:t>
            </w:r>
          </w:p>
          <w:p>
            <w:pPr>
              <w:jc w:val="left"/>
              <w:rPr>
                <w:rFonts w:ascii="宋体" w:hAnsi="宋体" w:cs="宋体"/>
                <w:color w:val="auto"/>
                <w:sz w:val="20"/>
                <w:szCs w:val="20"/>
                <w:highlight w:val="none"/>
              </w:rPr>
            </w:pPr>
            <w:r>
              <w:rPr>
                <w:rFonts w:hint="eastAsia" w:ascii="宋体" w:hAnsi="宋体" w:cs="宋体"/>
                <w:color w:val="auto"/>
                <w:sz w:val="20"/>
                <w:szCs w:val="20"/>
                <w:highlight w:val="none"/>
              </w:rPr>
              <w:t>三、参加开标会议的要求：本项目采用“不见面”开标方式，不强制要求投标人参加现场开标会。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5.2</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开标</w:t>
            </w:r>
          </w:p>
        </w:tc>
        <w:tc>
          <w:tcPr>
            <w:tcW w:w="7447" w:type="dxa"/>
            <w:vAlign w:val="center"/>
          </w:tcPr>
          <w:p>
            <w:pPr>
              <w:widowControl/>
              <w:jc w:val="left"/>
              <w:rPr>
                <w:rFonts w:ascii="宋体" w:hAnsi="宋体" w:cs="宋体"/>
                <w:color w:val="auto"/>
                <w:sz w:val="20"/>
                <w:szCs w:val="20"/>
                <w:highlight w:val="none"/>
              </w:rPr>
            </w:pPr>
            <w:r>
              <w:rPr>
                <w:rFonts w:hint="eastAsia" w:ascii="宋体" w:hAnsi="宋体" w:cs="宋体"/>
                <w:color w:val="auto"/>
                <w:sz w:val="20"/>
                <w:szCs w:val="20"/>
                <w:highlight w:val="none"/>
              </w:rPr>
              <w:t>一、密封情况检查：</w:t>
            </w:r>
            <w:r>
              <w:rPr>
                <w:rFonts w:hint="eastAsia" w:ascii="宋体" w:hAnsi="宋体" w:cs="宋体"/>
                <w:color w:val="auto"/>
                <w:sz w:val="20"/>
                <w:szCs w:val="20"/>
                <w:highlight w:val="none"/>
                <w:lang w:bidi="ar"/>
              </w:rPr>
              <w:t>由公证处公证人员检查。</w:t>
            </w:r>
          </w:p>
          <w:p>
            <w:pPr>
              <w:widowControl/>
              <w:jc w:val="left"/>
              <w:rPr>
                <w:rFonts w:ascii="宋体" w:hAnsi="宋体" w:cs="宋体"/>
                <w:color w:val="auto"/>
                <w:sz w:val="20"/>
                <w:szCs w:val="20"/>
                <w:highlight w:val="none"/>
              </w:rPr>
            </w:pPr>
            <w:r>
              <w:rPr>
                <w:rFonts w:hint="eastAsia" w:ascii="宋体" w:hAnsi="宋体" w:cs="宋体"/>
                <w:color w:val="auto"/>
                <w:sz w:val="20"/>
                <w:szCs w:val="20"/>
                <w:highlight w:val="none"/>
              </w:rPr>
              <w:t>二、开标顺序：</w:t>
            </w:r>
            <w:r>
              <w:rPr>
                <w:rFonts w:hint="eastAsia" w:ascii="宋体" w:hAnsi="宋体" w:cs="宋体"/>
                <w:color w:val="auto"/>
                <w:sz w:val="20"/>
                <w:szCs w:val="20"/>
                <w:highlight w:val="none"/>
                <w:lang w:bidi="ar"/>
              </w:rPr>
              <w:t>按获取招标文件顺序依次开标。</w:t>
            </w:r>
          </w:p>
          <w:p>
            <w:pPr>
              <w:jc w:val="left"/>
              <w:rPr>
                <w:rFonts w:ascii="宋体" w:hAnsi="宋体" w:cs="宋体"/>
                <w:color w:val="auto"/>
                <w:sz w:val="20"/>
                <w:szCs w:val="20"/>
                <w:highlight w:val="none"/>
              </w:rPr>
            </w:pPr>
            <w:r>
              <w:rPr>
                <w:rFonts w:hint="eastAsia" w:ascii="宋体" w:hAnsi="宋体" w:cs="宋体"/>
                <w:color w:val="auto"/>
                <w:sz w:val="20"/>
                <w:szCs w:val="20"/>
                <w:highlight w:val="none"/>
              </w:rPr>
              <w:t>（为确保开评标现场的疫情防控安全，到现场参与开评标的各类人员应出示健康码。为减少人员聚集程度及滞留时间，招标人、招标代理工作人员原则上不超过三人，投标人不需在开标现场。）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6.1.1</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评标委员会的组建</w:t>
            </w:r>
          </w:p>
        </w:tc>
        <w:tc>
          <w:tcPr>
            <w:tcW w:w="7447" w:type="dxa"/>
            <w:vAlign w:val="center"/>
          </w:tcPr>
          <w:p>
            <w:pPr>
              <w:shd w:val="clear" w:color="auto" w:fill="FFFFFF"/>
              <w:spacing w:line="288" w:lineRule="auto"/>
              <w:rPr>
                <w:rFonts w:ascii="宋体" w:hAnsi="宋体" w:cs="宋体"/>
                <w:color w:val="auto"/>
                <w:sz w:val="20"/>
                <w:szCs w:val="20"/>
                <w:highlight w:val="none"/>
              </w:rPr>
            </w:pPr>
            <w:r>
              <w:rPr>
                <w:rFonts w:hint="eastAsia" w:ascii="宋体" w:hAnsi="宋体" w:cs="宋体"/>
                <w:color w:val="auto"/>
                <w:sz w:val="20"/>
                <w:szCs w:val="20"/>
                <w:highlight w:val="none"/>
              </w:rPr>
              <w:t>评标委员会构成：</w:t>
            </w:r>
            <w:r>
              <w:rPr>
                <w:rFonts w:hint="eastAsia" w:ascii="宋体" w:hAnsi="宋体" w:cs="宋体"/>
                <w:color w:val="auto"/>
                <w:sz w:val="20"/>
                <w:szCs w:val="20"/>
                <w:highlight w:val="none"/>
                <w:u w:val="single"/>
              </w:rPr>
              <w:t xml:space="preserve">  按规定   </w:t>
            </w:r>
            <w:r>
              <w:rPr>
                <w:rFonts w:hint="eastAsia" w:ascii="宋体" w:hAnsi="宋体" w:cs="宋体"/>
                <w:color w:val="auto"/>
                <w:sz w:val="20"/>
                <w:szCs w:val="20"/>
                <w:highlight w:val="none"/>
              </w:rPr>
              <w:t>；</w:t>
            </w:r>
          </w:p>
          <w:p>
            <w:pPr>
              <w:jc w:val="left"/>
              <w:rPr>
                <w:rFonts w:ascii="宋体" w:hAnsi="宋体" w:cs="宋体"/>
                <w:color w:val="auto"/>
                <w:sz w:val="20"/>
                <w:szCs w:val="20"/>
                <w:highlight w:val="none"/>
              </w:rPr>
            </w:pPr>
            <w:r>
              <w:rPr>
                <w:rFonts w:hint="eastAsia" w:ascii="宋体" w:hAnsi="宋体" w:cs="宋体"/>
                <w:color w:val="auto"/>
                <w:sz w:val="20"/>
                <w:szCs w:val="20"/>
                <w:highlight w:val="none"/>
              </w:rPr>
              <w:t>评标专家确定方式：</w:t>
            </w:r>
            <w:r>
              <w:rPr>
                <w:rFonts w:hint="eastAsia" w:ascii="宋体" w:hAnsi="宋体" w:cs="宋体"/>
                <w:color w:val="auto"/>
                <w:sz w:val="20"/>
                <w:szCs w:val="20"/>
                <w:highlight w:val="none"/>
                <w:u w:val="single"/>
              </w:rPr>
              <w:t xml:space="preserve">  按规定   </w:t>
            </w:r>
            <w:r>
              <w:rPr>
                <w:rFonts w:hint="eastAsia" w:ascii="宋体" w:hAnsi="宋体" w:cs="宋体"/>
                <w:color w:val="auto"/>
                <w:sz w:val="20"/>
                <w:szCs w:val="20"/>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6.3</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评标方法</w:t>
            </w:r>
          </w:p>
        </w:tc>
        <w:tc>
          <w:tcPr>
            <w:tcW w:w="7447" w:type="dxa"/>
            <w:vAlign w:val="center"/>
          </w:tcPr>
          <w:p>
            <w:pPr>
              <w:jc w:val="left"/>
              <w:rPr>
                <w:rFonts w:ascii="宋体" w:hAnsi="宋体" w:cs="宋体"/>
                <w:color w:val="auto"/>
                <w:sz w:val="20"/>
                <w:szCs w:val="20"/>
                <w:highlight w:val="none"/>
              </w:rPr>
            </w:pPr>
            <w:r>
              <w:rPr>
                <w:color w:val="auto"/>
                <w:highlight w:val="none"/>
              </w:rPr>
              <w:fldChar w:fldCharType="begin"/>
            </w:r>
            <w:r>
              <w:rPr>
                <w:color w:val="auto"/>
                <w:highlight w:val="none"/>
              </w:rPr>
              <w:instrText xml:space="preserve"> HYPERLINK "http://218.108.28.22/zjgcjy/infodetail/?infoid=3561d4c5-1965-4914-8d10-bfd371957ee6&amp;siteid=1&amp;categoryNum=032003" \t "_blank" \o "浙江省重点建设工程施工招标资格后审综合评标示范办法（信用报告）" </w:instrText>
            </w:r>
            <w:r>
              <w:rPr>
                <w:color w:val="auto"/>
                <w:highlight w:val="none"/>
              </w:rPr>
              <w:fldChar w:fldCharType="separate"/>
            </w:r>
            <w:r>
              <w:rPr>
                <w:rFonts w:hint="eastAsia" w:ascii="宋体" w:hAnsi="宋体" w:cs="宋体"/>
                <w:color w:val="auto"/>
                <w:sz w:val="20"/>
                <w:szCs w:val="20"/>
                <w:highlight w:val="none"/>
              </w:rPr>
              <w:t>综合评估法</w:t>
            </w:r>
            <w:r>
              <w:rPr>
                <w:rFonts w:hint="eastAsia" w:ascii="宋体" w:hAnsi="宋体" w:cs="宋体"/>
                <w:color w:val="auto"/>
                <w:sz w:val="20"/>
                <w:szCs w:val="20"/>
                <w:highlight w:val="none"/>
              </w:rPr>
              <w:fldChar w:fldCharType="end"/>
            </w:r>
            <w:r>
              <w:rPr>
                <w:rFonts w:hint="eastAsia" w:ascii="宋体" w:hAnsi="宋体" w:cs="宋体"/>
                <w:color w:val="auto"/>
                <w:sz w:val="20"/>
                <w:szCs w:val="20"/>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6.4</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中标候选人公示</w:t>
            </w:r>
          </w:p>
        </w:tc>
        <w:tc>
          <w:tcPr>
            <w:tcW w:w="7447" w:type="dxa"/>
            <w:vAlign w:val="center"/>
          </w:tcPr>
          <w:p>
            <w:pPr>
              <w:widowControl/>
              <w:jc w:val="left"/>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在 中 标 公 示 前 ， 招 标 人 通 过 中 国 裁 判 文 书 网 （ https ： </w:t>
            </w:r>
          </w:p>
          <w:p>
            <w:pPr>
              <w:jc w:val="left"/>
              <w:rPr>
                <w:rFonts w:ascii="宋体" w:hAnsi="宋体" w:cs="宋体"/>
                <w:color w:val="auto"/>
                <w:sz w:val="20"/>
                <w:szCs w:val="20"/>
                <w:highlight w:val="none"/>
              </w:rPr>
            </w:pPr>
            <w:r>
              <w:rPr>
                <w:rFonts w:hint="eastAsia" w:ascii="宋体" w:hAnsi="宋体" w:cs="宋体"/>
                <w:color w:val="auto"/>
                <w:sz w:val="20"/>
                <w:szCs w:val="20"/>
                <w:highlight w:val="none"/>
                <w:lang w:bidi="ar"/>
              </w:rPr>
              <w:t>//wenshu.court.gov.cn/）按照招标文件约定对拟中标单位及其拟派项目负责人的行贿犯罪记录进行查询，查询结果以网站页面显示内容为准。如无行贿犯罪记录，则对中标候选人的情况（有业绩要求的，包括业绩）在招标公告发布网站予以公示，公示期间招标人将对业绩及相关资质、证书、报告等原件进行核查并将相关核查资料存档备案，公示期为 3 个工作日。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7.1</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是否授权评标委员会确定中标人</w:t>
            </w:r>
          </w:p>
        </w:tc>
        <w:tc>
          <w:tcPr>
            <w:tcW w:w="7447" w:type="dxa"/>
            <w:vAlign w:val="center"/>
          </w:tcPr>
          <w:p>
            <w:pPr>
              <w:adjustRightInd w:val="0"/>
              <w:snapToGrid w:val="0"/>
              <w:spacing w:line="360" w:lineRule="exact"/>
              <w:rPr>
                <w:rFonts w:ascii="宋体" w:hAnsi="宋体" w:cs="宋体" w:eastAsiaTheme="minorEastAsia"/>
                <w:color w:val="auto"/>
                <w:szCs w:val="21"/>
                <w:highlight w:val="none"/>
              </w:rPr>
            </w:pPr>
            <w:r>
              <w:rPr>
                <w:rFonts w:hint="eastAsia" w:ascii="宋体" w:hAnsi="宋体" w:cs="宋体" w:eastAsiaTheme="minorEastAsia"/>
                <w:color w:val="auto"/>
                <w:szCs w:val="21"/>
                <w:highlight w:val="none"/>
              </w:rPr>
              <w:t>□是</w:t>
            </w:r>
          </w:p>
          <w:p>
            <w:pPr>
              <w:jc w:val="left"/>
              <w:rPr>
                <w:rFonts w:ascii="宋体" w:hAnsi="宋体" w:cs="宋体"/>
                <w:color w:val="auto"/>
                <w:sz w:val="20"/>
                <w:szCs w:val="20"/>
                <w:highlight w:val="none"/>
              </w:rPr>
            </w:pPr>
            <w:r>
              <w:rPr>
                <w:rFonts w:hint="eastAsia" w:ascii="MS Mincho" w:hAnsi="MS Mincho" w:eastAsia="MS Mincho" w:cs="MS Mincho"/>
                <w:color w:val="auto"/>
                <w:szCs w:val="21"/>
                <w:highlight w:val="none"/>
              </w:rPr>
              <w:t>☑</w:t>
            </w:r>
            <w:r>
              <w:rPr>
                <w:rFonts w:hint="eastAsia" w:ascii="宋体" w:hAnsi="宋体" w:cs="宋体" w:eastAsiaTheme="minorEastAsia"/>
                <w:color w:val="auto"/>
                <w:szCs w:val="21"/>
                <w:highlight w:val="none"/>
              </w:rPr>
              <w:t>否，推荐的中标候选人数量：</w:t>
            </w:r>
            <w:r>
              <w:rPr>
                <w:rFonts w:hint="eastAsia" w:ascii="宋体" w:hAnsi="宋体" w:cs="宋体" w:eastAsiaTheme="minorEastAsia"/>
                <w:color w:val="auto"/>
                <w:szCs w:val="21"/>
                <w:highlight w:val="none"/>
                <w:u w:val="single"/>
              </w:rPr>
              <w:t xml:space="preserve"> 1 </w:t>
            </w:r>
            <w:r>
              <w:rPr>
                <w:rFonts w:hint="eastAsia" w:ascii="宋体" w:hAnsi="宋体" w:cs="宋体" w:eastAsiaTheme="minorEastAsia"/>
                <w:color w:val="auto"/>
                <w:szCs w:val="21"/>
                <w:highlight w:val="none"/>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7.3.1</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履约保证金</w:t>
            </w:r>
          </w:p>
        </w:tc>
        <w:tc>
          <w:tcPr>
            <w:tcW w:w="7447" w:type="dxa"/>
            <w:vAlign w:val="center"/>
          </w:tcPr>
          <w:p>
            <w:pPr>
              <w:rPr>
                <w:rFonts w:ascii="宋体" w:hAnsi="宋体" w:cs="宋体"/>
                <w:color w:val="auto"/>
                <w:sz w:val="20"/>
                <w:szCs w:val="20"/>
                <w:highlight w:val="none"/>
              </w:rPr>
            </w:pPr>
            <w:r>
              <w:rPr>
                <w:rFonts w:hint="eastAsia" w:ascii="宋体" w:hAnsi="宋体" w:cs="宋体"/>
                <w:color w:val="auto"/>
                <w:sz w:val="20"/>
                <w:szCs w:val="20"/>
                <w:highlight w:val="none"/>
              </w:rPr>
              <w:t>履约保证金的形式：现金、银行保函、保险公司保函或融资担保公司保函。</w:t>
            </w:r>
          </w:p>
          <w:p>
            <w:pPr>
              <w:jc w:val="left"/>
              <w:rPr>
                <w:rFonts w:ascii="宋体" w:hAnsi="宋体" w:cs="宋体"/>
                <w:color w:val="auto"/>
                <w:sz w:val="20"/>
                <w:szCs w:val="20"/>
                <w:highlight w:val="none"/>
              </w:rPr>
            </w:pPr>
            <w:r>
              <w:rPr>
                <w:rFonts w:hint="eastAsia" w:ascii="宋体" w:hAnsi="宋体" w:cs="宋体"/>
                <w:color w:val="auto"/>
                <w:sz w:val="20"/>
                <w:szCs w:val="20"/>
                <w:highlight w:val="none"/>
              </w:rPr>
              <w:t>履约保证金的金额：合同总价的2%。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8.2</w:t>
            </w:r>
          </w:p>
        </w:tc>
        <w:tc>
          <w:tcPr>
            <w:tcW w:w="1560" w:type="dxa"/>
            <w:vAlign w:val="center"/>
          </w:tcPr>
          <w:p>
            <w:pPr>
              <w:pStyle w:val="56"/>
              <w:adjustRightInd w:val="0"/>
              <w:snapToGrid w:val="0"/>
              <w:spacing w:line="0" w:lineRule="atLeast"/>
              <w:ind w:firstLine="0" w:firstLineChars="0"/>
              <w:jc w:val="center"/>
              <w:rPr>
                <w:rFonts w:hAnsi="宋体" w:cs="宋体"/>
                <w:color w:val="auto"/>
                <w:szCs w:val="20"/>
                <w:highlight w:val="none"/>
              </w:rPr>
            </w:pPr>
            <w:r>
              <w:rPr>
                <w:rFonts w:hint="eastAsia" w:hAnsi="宋体" w:cs="宋体"/>
                <w:color w:val="auto"/>
                <w:szCs w:val="20"/>
                <w:highlight w:val="none"/>
              </w:rPr>
              <w:t>不再招标的情形</w:t>
            </w:r>
          </w:p>
        </w:tc>
        <w:tc>
          <w:tcPr>
            <w:tcW w:w="7447" w:type="dxa"/>
            <w:vAlign w:val="center"/>
          </w:tcPr>
          <w:p>
            <w:pPr>
              <w:jc w:val="left"/>
              <w:rPr>
                <w:rFonts w:ascii="宋体" w:hAnsi="宋体" w:cs="宋体"/>
                <w:color w:val="auto"/>
                <w:sz w:val="20"/>
                <w:szCs w:val="20"/>
                <w:highlight w:val="none"/>
              </w:rPr>
            </w:pPr>
            <w:r>
              <w:rPr>
                <w:rFonts w:hint="eastAsia" w:ascii="宋体" w:hAnsi="宋体" w:cs="宋体"/>
                <w:color w:val="auto"/>
                <w:sz w:val="20"/>
                <w:szCs w:val="20"/>
                <w:highlight w:val="none"/>
              </w:rPr>
              <w:t>重新招标后投标人仍少于3个的，经原审批或核准部门批准后不再进行招标。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10.1</w:t>
            </w:r>
          </w:p>
        </w:tc>
        <w:tc>
          <w:tcPr>
            <w:tcW w:w="1560" w:type="dxa"/>
            <w:vAlign w:val="center"/>
          </w:tcPr>
          <w:p>
            <w:pPr>
              <w:spacing w:line="240" w:lineRule="exact"/>
              <w:jc w:val="center"/>
              <w:rPr>
                <w:rFonts w:ascii="宋体" w:hAnsi="宋体" w:cs="宋体"/>
                <w:color w:val="auto"/>
                <w:sz w:val="20"/>
                <w:szCs w:val="20"/>
                <w:highlight w:val="none"/>
              </w:rPr>
            </w:pPr>
            <w:r>
              <w:rPr>
                <w:rFonts w:hint="eastAsia" w:ascii="宋体" w:hAnsi="宋体" w:cs="宋体"/>
                <w:color w:val="auto"/>
                <w:sz w:val="20"/>
                <w:szCs w:val="20"/>
                <w:highlight w:val="none"/>
              </w:rPr>
              <w:t>否决投标的情形</w:t>
            </w:r>
          </w:p>
        </w:tc>
        <w:tc>
          <w:tcPr>
            <w:tcW w:w="7447" w:type="dxa"/>
            <w:vAlign w:val="center"/>
          </w:tcPr>
          <w:p>
            <w:pPr>
              <w:spacing w:line="280" w:lineRule="exact"/>
              <w:rPr>
                <w:rFonts w:ascii="宋体" w:hAnsi="宋体" w:cs="宋体"/>
                <w:color w:val="auto"/>
                <w:sz w:val="20"/>
                <w:szCs w:val="20"/>
                <w:highlight w:val="none"/>
              </w:rPr>
            </w:pPr>
            <w:r>
              <w:rPr>
                <w:rFonts w:hint="eastAsia" w:ascii="宋体" w:hAnsi="宋体" w:cs="宋体"/>
                <w:color w:val="auto"/>
                <w:sz w:val="20"/>
                <w:szCs w:val="20"/>
                <w:highlight w:val="none"/>
              </w:rPr>
              <w:t>一、凡评标委员会拟作出否决投标决定的，应先通过代理机构向投标人进行询问核实。未进行询问核实程序的，不得做出否决投标决定，投标人放弃接受询问核实机会的除外（投标人所留联系方式无法联系上、在规定的时限内投标人不参加询问核实或不予答复的）。</w:t>
            </w:r>
          </w:p>
          <w:p>
            <w:pPr>
              <w:spacing w:line="280" w:lineRule="exact"/>
              <w:rPr>
                <w:rFonts w:ascii="宋体" w:hAnsi="宋体" w:cs="宋体"/>
                <w:color w:val="auto"/>
                <w:sz w:val="20"/>
                <w:szCs w:val="20"/>
                <w:highlight w:val="none"/>
              </w:rPr>
            </w:pPr>
            <w:r>
              <w:rPr>
                <w:rFonts w:hint="eastAsia" w:ascii="宋体" w:hAnsi="宋体" w:cs="宋体"/>
                <w:color w:val="auto"/>
                <w:sz w:val="20"/>
                <w:szCs w:val="20"/>
                <w:highlight w:val="none"/>
              </w:rPr>
              <w:t>二、投标文件存在以下情形之一的，由评标委员会审核并经过询标程序，其投标文件将被否决：</w:t>
            </w:r>
          </w:p>
          <w:p>
            <w:pPr>
              <w:spacing w:line="280" w:lineRule="exact"/>
              <w:rPr>
                <w:rFonts w:ascii="宋体" w:hAnsi="宋体" w:cs="宋体"/>
                <w:b/>
                <w:bCs/>
                <w:color w:val="auto"/>
                <w:sz w:val="20"/>
                <w:szCs w:val="20"/>
                <w:highlight w:val="none"/>
              </w:rPr>
            </w:pPr>
            <w:r>
              <w:rPr>
                <w:rFonts w:hint="eastAsia" w:ascii="宋体" w:hAnsi="宋体" w:cs="宋体"/>
                <w:b/>
                <w:bCs/>
                <w:color w:val="auto"/>
                <w:sz w:val="20"/>
                <w:szCs w:val="20"/>
                <w:highlight w:val="none"/>
              </w:rPr>
              <w:t>（一）资格审查符合性内容</w:t>
            </w:r>
          </w:p>
          <w:p>
            <w:pPr>
              <w:spacing w:line="280" w:lineRule="exact"/>
              <w:rPr>
                <w:rFonts w:ascii="宋体" w:hAnsi="宋体" w:cs="宋体"/>
                <w:color w:val="auto"/>
                <w:sz w:val="20"/>
                <w:szCs w:val="20"/>
                <w:highlight w:val="none"/>
              </w:rPr>
            </w:pPr>
            <w:r>
              <w:rPr>
                <w:rFonts w:hint="eastAsia" w:ascii="宋体" w:hAnsi="宋体" w:cs="宋体"/>
                <w:color w:val="auto"/>
                <w:sz w:val="20"/>
                <w:szCs w:val="20"/>
                <w:highlight w:val="none"/>
              </w:rPr>
              <w:t>1.投标品牌的资质、业绩、人员、设备等条件未满足招标文件实质性响应要求的（以投标人须知前附表3.5中“资格审查资料”内容为准）；</w:t>
            </w:r>
          </w:p>
          <w:p>
            <w:pPr>
              <w:spacing w:line="280" w:lineRule="exact"/>
              <w:rPr>
                <w:rFonts w:ascii="宋体" w:hAnsi="宋体" w:cs="宋体"/>
                <w:color w:val="auto"/>
                <w:sz w:val="20"/>
                <w:szCs w:val="20"/>
                <w:highlight w:val="none"/>
              </w:rPr>
            </w:pPr>
            <w:r>
              <w:rPr>
                <w:rFonts w:hint="eastAsia" w:ascii="宋体" w:hAnsi="宋体" w:cs="宋体"/>
                <w:color w:val="auto"/>
                <w:sz w:val="20"/>
                <w:szCs w:val="20"/>
                <w:highlight w:val="none"/>
              </w:rPr>
              <w:t>2.未按招标文件的要求加盖单位印章，或投标人的法定代表人（或其委托代理人）未按招标文件要求签字或盖章的，或委托代理人签字盖章但无有效的委托授权书的；</w:t>
            </w:r>
          </w:p>
          <w:p>
            <w:pPr>
              <w:spacing w:line="280" w:lineRule="exact"/>
              <w:rPr>
                <w:rFonts w:ascii="宋体" w:hAnsi="宋体" w:cs="宋体"/>
                <w:color w:val="auto"/>
                <w:sz w:val="20"/>
                <w:szCs w:val="20"/>
                <w:highlight w:val="none"/>
              </w:rPr>
            </w:pPr>
            <w:r>
              <w:rPr>
                <w:rFonts w:hint="eastAsia" w:ascii="宋体" w:hAnsi="宋体" w:cs="宋体"/>
                <w:color w:val="auto"/>
                <w:sz w:val="20"/>
                <w:szCs w:val="20"/>
                <w:highlight w:val="none"/>
              </w:rPr>
              <w:t>3.投标人存在招标文件投标人须知1.4.3规定的不得存在的情形之一的；</w:t>
            </w:r>
          </w:p>
          <w:p>
            <w:pPr>
              <w:spacing w:line="280" w:lineRule="exact"/>
              <w:rPr>
                <w:rFonts w:ascii="宋体" w:hAnsi="宋体" w:cs="宋体"/>
                <w:color w:val="auto"/>
                <w:sz w:val="20"/>
                <w:szCs w:val="20"/>
                <w:highlight w:val="none"/>
              </w:rPr>
            </w:pPr>
            <w:r>
              <w:rPr>
                <w:rFonts w:hint="eastAsia" w:ascii="宋体" w:hAnsi="宋体" w:cs="宋体"/>
                <w:color w:val="auto"/>
                <w:sz w:val="20"/>
                <w:szCs w:val="20"/>
                <w:highlight w:val="none"/>
              </w:rPr>
              <w:t>4.投标函</w:t>
            </w:r>
            <w:r>
              <w:rPr>
                <w:rFonts w:hint="eastAsia" w:ascii="宋体" w:hAnsi="宋体" w:cs="宋体"/>
                <w:strike/>
                <w:color w:val="auto"/>
                <w:sz w:val="20"/>
                <w:szCs w:val="20"/>
                <w:highlight w:val="none"/>
              </w:rPr>
              <w:t>及投标函附录</w:t>
            </w:r>
            <w:r>
              <w:rPr>
                <w:rFonts w:hint="eastAsia" w:ascii="宋体" w:hAnsi="宋体" w:cs="宋体"/>
                <w:color w:val="auto"/>
                <w:sz w:val="20"/>
                <w:szCs w:val="20"/>
                <w:highlight w:val="none"/>
              </w:rPr>
              <w:t>载明的交货期不响应招标文件要求的；</w:t>
            </w:r>
          </w:p>
          <w:p>
            <w:pPr>
              <w:spacing w:line="280" w:lineRule="exact"/>
              <w:rPr>
                <w:rFonts w:ascii="宋体" w:hAnsi="宋体" w:cs="宋体"/>
                <w:color w:val="auto"/>
                <w:sz w:val="20"/>
                <w:szCs w:val="20"/>
                <w:highlight w:val="none"/>
              </w:rPr>
            </w:pPr>
            <w:r>
              <w:rPr>
                <w:rFonts w:hint="eastAsia" w:ascii="宋体" w:hAnsi="宋体" w:cs="宋体"/>
                <w:color w:val="auto"/>
                <w:sz w:val="20"/>
                <w:szCs w:val="20"/>
                <w:highlight w:val="none"/>
              </w:rPr>
              <w:t>5.投标人不以自己的名义或未按招标文件要求提供投标保证金，或提供的投标保证金有缺陷而不能接受的；</w:t>
            </w:r>
          </w:p>
          <w:p>
            <w:pPr>
              <w:spacing w:line="280" w:lineRule="exact"/>
              <w:rPr>
                <w:rFonts w:ascii="宋体" w:hAnsi="宋体" w:cs="宋体"/>
                <w:color w:val="auto"/>
                <w:sz w:val="20"/>
                <w:szCs w:val="20"/>
                <w:highlight w:val="none"/>
              </w:rPr>
            </w:pPr>
            <w:r>
              <w:rPr>
                <w:rFonts w:hint="eastAsia" w:ascii="宋体" w:hAnsi="宋体" w:cs="宋体"/>
                <w:color w:val="auto"/>
                <w:sz w:val="20"/>
                <w:szCs w:val="20"/>
                <w:highlight w:val="none"/>
              </w:rPr>
              <w:t>6.投标报价高于招标文件设定的最高投标限价的；</w:t>
            </w:r>
          </w:p>
          <w:p>
            <w:pPr>
              <w:spacing w:line="280" w:lineRule="exact"/>
              <w:rPr>
                <w:rFonts w:ascii="宋体" w:hAnsi="宋体" w:cs="宋体"/>
                <w:color w:val="auto"/>
                <w:sz w:val="20"/>
                <w:szCs w:val="20"/>
                <w:highlight w:val="none"/>
              </w:rPr>
            </w:pPr>
            <w:r>
              <w:rPr>
                <w:rFonts w:hint="eastAsia" w:ascii="宋体" w:hAnsi="宋体" w:cs="宋体"/>
                <w:color w:val="auto"/>
                <w:sz w:val="20"/>
                <w:szCs w:val="20"/>
                <w:highlight w:val="none"/>
              </w:rPr>
              <w:t>7.改变招标人提供的货物清单内容的（货物名称、单位、数量）；</w:t>
            </w:r>
          </w:p>
          <w:p>
            <w:pPr>
              <w:spacing w:line="280" w:lineRule="exact"/>
              <w:rPr>
                <w:rFonts w:ascii="宋体" w:hAnsi="宋体" w:cs="宋体"/>
                <w:color w:val="auto"/>
                <w:sz w:val="20"/>
                <w:szCs w:val="20"/>
                <w:highlight w:val="none"/>
              </w:rPr>
            </w:pPr>
            <w:r>
              <w:rPr>
                <w:rFonts w:hint="eastAsia" w:ascii="宋体" w:hAnsi="宋体" w:cs="宋体"/>
                <w:color w:val="auto"/>
                <w:sz w:val="20"/>
                <w:szCs w:val="20"/>
                <w:highlight w:val="none"/>
              </w:rPr>
              <w:t>8. 投标人及其法定代表人控股的其他公司，不得同时参加同一标段投标。否则，均按否决投标处理；</w:t>
            </w:r>
          </w:p>
          <w:p>
            <w:pPr>
              <w:spacing w:line="280" w:lineRule="exact"/>
              <w:rPr>
                <w:rFonts w:ascii="宋体" w:hAnsi="宋体" w:cs="宋体"/>
                <w:color w:val="auto"/>
                <w:sz w:val="20"/>
                <w:szCs w:val="20"/>
                <w:highlight w:val="none"/>
              </w:rPr>
            </w:pPr>
            <w:r>
              <w:rPr>
                <w:rFonts w:hint="eastAsia" w:ascii="宋体" w:hAnsi="宋体" w:cs="宋体"/>
                <w:color w:val="auto"/>
                <w:sz w:val="20"/>
                <w:szCs w:val="20"/>
                <w:highlight w:val="none"/>
              </w:rPr>
              <w:t>9.投标人在开标会议前系统中确定的项目负责人与投标文件中项目负责人不一致的；</w:t>
            </w:r>
          </w:p>
          <w:p>
            <w:pPr>
              <w:spacing w:line="280" w:lineRule="exact"/>
              <w:jc w:val="left"/>
              <w:rPr>
                <w:rFonts w:ascii="宋体" w:hAnsi="宋体" w:cs="宋体"/>
                <w:color w:val="auto"/>
                <w:sz w:val="20"/>
                <w:szCs w:val="20"/>
                <w:highlight w:val="none"/>
              </w:rPr>
            </w:pPr>
            <w:r>
              <w:rPr>
                <w:rFonts w:hint="eastAsia" w:ascii="宋体" w:hAnsi="宋体" w:cs="宋体"/>
                <w:color w:val="auto"/>
                <w:sz w:val="20"/>
                <w:szCs w:val="20"/>
                <w:highlight w:val="none"/>
              </w:rPr>
              <w:t>10.存在法律、法规、规章规定的其它无效投标情况的。</w:t>
            </w:r>
          </w:p>
          <w:p>
            <w:pPr>
              <w:spacing w:line="280" w:lineRule="exact"/>
              <w:rPr>
                <w:rFonts w:ascii="宋体" w:hAnsi="宋体" w:cs="宋体"/>
                <w:b/>
                <w:bCs/>
                <w:color w:val="auto"/>
                <w:sz w:val="20"/>
                <w:szCs w:val="20"/>
                <w:highlight w:val="none"/>
              </w:rPr>
            </w:pPr>
            <w:r>
              <w:rPr>
                <w:rFonts w:hint="eastAsia" w:ascii="宋体" w:hAnsi="宋体" w:cs="宋体"/>
                <w:b/>
                <w:bCs/>
                <w:color w:val="auto"/>
                <w:sz w:val="20"/>
                <w:szCs w:val="20"/>
                <w:highlight w:val="none"/>
              </w:rPr>
              <w:t>（二）商务标符合性内容</w:t>
            </w:r>
          </w:p>
          <w:p>
            <w:pPr>
              <w:spacing w:line="280" w:lineRule="exact"/>
              <w:rPr>
                <w:rFonts w:ascii="宋体" w:hAnsi="宋体" w:cs="宋体"/>
                <w:color w:val="auto"/>
                <w:sz w:val="20"/>
                <w:szCs w:val="20"/>
                <w:highlight w:val="none"/>
              </w:rPr>
            </w:pPr>
            <w:r>
              <w:rPr>
                <w:rFonts w:hint="eastAsia" w:ascii="宋体" w:hAnsi="宋体" w:cs="宋体"/>
                <w:color w:val="auto"/>
                <w:sz w:val="20"/>
                <w:szCs w:val="20"/>
                <w:highlight w:val="none"/>
              </w:rPr>
              <w:t>1.同一投标人提交两个以上不同的投标文件或者投标报价的；</w:t>
            </w:r>
          </w:p>
          <w:p>
            <w:pPr>
              <w:spacing w:line="280" w:lineRule="exact"/>
              <w:rPr>
                <w:rFonts w:ascii="宋体" w:hAnsi="宋体" w:cs="宋体"/>
                <w:color w:val="auto"/>
                <w:sz w:val="20"/>
                <w:szCs w:val="20"/>
                <w:highlight w:val="none"/>
              </w:rPr>
            </w:pPr>
            <w:r>
              <w:rPr>
                <w:rFonts w:hint="eastAsia" w:ascii="宋体" w:hAnsi="宋体" w:cs="宋体"/>
                <w:color w:val="auto"/>
                <w:sz w:val="20"/>
                <w:szCs w:val="20"/>
                <w:highlight w:val="none"/>
              </w:rPr>
              <w:t>2.报价评审时，投标人拒绝按以下条款修正的：</w:t>
            </w:r>
          </w:p>
          <w:p>
            <w:pPr>
              <w:spacing w:line="280" w:lineRule="exact"/>
              <w:rPr>
                <w:rFonts w:ascii="宋体" w:hAnsi="宋体" w:cs="宋体"/>
                <w:color w:val="auto"/>
                <w:sz w:val="20"/>
                <w:szCs w:val="20"/>
                <w:highlight w:val="none"/>
              </w:rPr>
            </w:pPr>
            <w:r>
              <w:rPr>
                <w:rFonts w:hint="eastAsia" w:ascii="宋体" w:hAnsi="宋体" w:cs="宋体"/>
                <w:color w:val="auto"/>
                <w:sz w:val="20"/>
                <w:szCs w:val="20"/>
                <w:highlight w:val="none"/>
              </w:rPr>
              <w:t>3.评标委员会认为投标人需要修正的投标内容；</w:t>
            </w:r>
          </w:p>
          <w:p>
            <w:pPr>
              <w:spacing w:line="280" w:lineRule="exact"/>
              <w:rPr>
                <w:rFonts w:ascii="宋体" w:hAnsi="宋体" w:cs="宋体"/>
                <w:color w:val="auto"/>
                <w:sz w:val="20"/>
                <w:szCs w:val="20"/>
                <w:highlight w:val="none"/>
              </w:rPr>
            </w:pPr>
            <w:r>
              <w:rPr>
                <w:rFonts w:hint="eastAsia" w:ascii="宋体" w:hAnsi="宋体" w:cs="宋体"/>
                <w:color w:val="auto"/>
                <w:sz w:val="20"/>
                <w:szCs w:val="20"/>
                <w:highlight w:val="none"/>
              </w:rPr>
              <w:t>4.投标函</w:t>
            </w:r>
            <w:r>
              <w:rPr>
                <w:rFonts w:hint="eastAsia" w:ascii="宋体" w:hAnsi="宋体" w:cs="宋体"/>
                <w:strike/>
                <w:color w:val="auto"/>
                <w:sz w:val="20"/>
                <w:szCs w:val="20"/>
                <w:highlight w:val="none"/>
              </w:rPr>
              <w:t>及投标函附录</w:t>
            </w:r>
            <w:r>
              <w:rPr>
                <w:rFonts w:hint="eastAsia" w:ascii="宋体" w:hAnsi="宋体" w:cs="宋体"/>
                <w:color w:val="auto"/>
                <w:sz w:val="20"/>
                <w:szCs w:val="20"/>
                <w:highlight w:val="none"/>
              </w:rPr>
              <w:t>载明的投标报价或其它关键内容字迹模糊或无法辨认的；</w:t>
            </w:r>
          </w:p>
          <w:p>
            <w:pPr>
              <w:spacing w:line="280" w:lineRule="exact"/>
              <w:rPr>
                <w:rFonts w:ascii="宋体" w:hAnsi="宋体" w:cs="宋体"/>
                <w:b/>
                <w:bCs/>
                <w:color w:val="auto"/>
                <w:sz w:val="20"/>
                <w:szCs w:val="20"/>
                <w:highlight w:val="none"/>
                <w:shd w:val="clear" w:color="auto" w:fill="FFFFFF"/>
              </w:rPr>
            </w:pPr>
            <w:r>
              <w:rPr>
                <w:rFonts w:hint="eastAsia" w:ascii="宋体" w:hAnsi="宋体" w:cs="宋体"/>
                <w:b/>
                <w:bCs/>
                <w:color w:val="auto"/>
                <w:sz w:val="20"/>
                <w:szCs w:val="20"/>
                <w:highlight w:val="none"/>
                <w:shd w:val="clear" w:color="auto" w:fill="FFFFFF"/>
              </w:rPr>
              <w:t>（三）技术标符合性内容</w:t>
            </w:r>
          </w:p>
          <w:p>
            <w:pPr>
              <w:spacing w:line="280" w:lineRule="exact"/>
              <w:rPr>
                <w:rFonts w:ascii="宋体" w:hAnsi="宋体" w:cs="宋体"/>
                <w:color w:val="auto"/>
                <w:sz w:val="20"/>
                <w:szCs w:val="20"/>
                <w:highlight w:val="none"/>
                <w:shd w:val="clear" w:color="auto" w:fill="FFFFFF"/>
              </w:rPr>
            </w:pPr>
            <w:r>
              <w:rPr>
                <w:rFonts w:hint="eastAsia" w:ascii="宋体" w:hAnsi="宋体" w:cs="宋体"/>
                <w:color w:val="auto"/>
                <w:sz w:val="20"/>
                <w:szCs w:val="20"/>
                <w:highlight w:val="none"/>
                <w:shd w:val="clear" w:color="auto" w:fill="FFFFFF"/>
              </w:rPr>
              <w:t>1.采用的验收标准和方法、主要技术指标达不到国家强制性标准的或要求的；</w:t>
            </w:r>
          </w:p>
          <w:p>
            <w:pPr>
              <w:spacing w:line="280" w:lineRule="exact"/>
              <w:rPr>
                <w:rFonts w:ascii="宋体" w:hAnsi="宋体" w:cs="宋体"/>
                <w:color w:val="auto"/>
                <w:sz w:val="20"/>
                <w:szCs w:val="20"/>
                <w:highlight w:val="none"/>
                <w:shd w:val="clear" w:color="auto" w:fill="FFFFFF"/>
              </w:rPr>
            </w:pPr>
            <w:r>
              <w:rPr>
                <w:rFonts w:hint="eastAsia" w:ascii="宋体" w:hAnsi="宋体" w:cs="宋体"/>
                <w:color w:val="auto"/>
                <w:sz w:val="20"/>
                <w:szCs w:val="20"/>
                <w:highlight w:val="none"/>
                <w:shd w:val="clear" w:color="auto" w:fill="FFFFFF"/>
              </w:rPr>
              <w:t xml:space="preserve">2.不符合以下技术规格、标准或性能指标的（招标人认为需要增加的，无则删除本条）： 见招标文件货物清单和第六章相关条款内容；            </w:t>
            </w:r>
          </w:p>
          <w:p>
            <w:pPr>
              <w:spacing w:line="280" w:lineRule="exact"/>
              <w:rPr>
                <w:rFonts w:ascii="宋体" w:hAnsi="宋体" w:cs="宋体"/>
                <w:color w:val="auto"/>
                <w:sz w:val="20"/>
                <w:szCs w:val="20"/>
                <w:highlight w:val="none"/>
              </w:rPr>
            </w:pPr>
            <w:r>
              <w:rPr>
                <w:rFonts w:hint="eastAsia" w:ascii="宋体" w:hAnsi="宋体" w:cs="宋体"/>
                <w:color w:val="auto"/>
                <w:sz w:val="20"/>
                <w:szCs w:val="20"/>
                <w:highlight w:val="none"/>
                <w:shd w:val="clear" w:color="auto" w:fill="FFFFFF"/>
              </w:rPr>
              <w:t>除本条规定以外，招标文件中其他条款均不得作为否决投标文件的依据。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10.2</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异议与投诉</w:t>
            </w:r>
          </w:p>
        </w:tc>
        <w:tc>
          <w:tcPr>
            <w:tcW w:w="7447" w:type="dxa"/>
            <w:vAlign w:val="center"/>
          </w:tcPr>
          <w:p>
            <w:pPr>
              <w:ind w:right="174" w:rightChars="83" w:firstLine="280"/>
              <w:rPr>
                <w:rFonts w:ascii="宋体" w:hAnsi="宋体" w:cs="宋体"/>
                <w:color w:val="auto"/>
                <w:sz w:val="20"/>
                <w:szCs w:val="20"/>
                <w:highlight w:val="none"/>
                <w:shd w:val="clear" w:color="auto" w:fill="FFFFFF"/>
              </w:rPr>
            </w:pPr>
            <w:r>
              <w:rPr>
                <w:rFonts w:hint="eastAsia" w:ascii="宋体" w:hAnsi="宋体" w:cs="宋体"/>
                <w:color w:val="auto"/>
                <w:sz w:val="20"/>
                <w:szCs w:val="20"/>
                <w:highlight w:val="none"/>
                <w:shd w:val="clear" w:color="auto" w:fill="FFFFFF"/>
              </w:rPr>
              <w:t>一、异议</w:t>
            </w:r>
          </w:p>
          <w:p>
            <w:pPr>
              <w:ind w:right="174" w:rightChars="83" w:firstLine="280"/>
              <w:rPr>
                <w:rFonts w:ascii="宋体" w:hAnsi="宋体" w:cs="宋体"/>
                <w:color w:val="auto"/>
                <w:sz w:val="20"/>
                <w:szCs w:val="20"/>
                <w:highlight w:val="none"/>
                <w:shd w:val="clear" w:color="auto" w:fill="FFFFFF"/>
              </w:rPr>
            </w:pPr>
            <w:r>
              <w:rPr>
                <w:rFonts w:hint="eastAsia" w:ascii="宋体" w:hAnsi="宋体" w:cs="宋体"/>
                <w:color w:val="auto"/>
                <w:sz w:val="20"/>
                <w:szCs w:val="20"/>
                <w:highlight w:val="none"/>
                <w:shd w:val="clear" w:color="auto" w:fill="FFFFFF"/>
              </w:rPr>
              <w:t>（一）潜在投标人或者其他利害关系人对招标文件有异议的，应当在投标截止时间10日前以书面形式向招标人或招标代理公司提出。招标人将在收到异议之日起3个工作日内作出书面答复；作出答复前，暂停招标投标活动。</w:t>
            </w:r>
          </w:p>
          <w:p>
            <w:pPr>
              <w:ind w:right="174" w:rightChars="83" w:firstLine="280"/>
              <w:rPr>
                <w:rFonts w:ascii="宋体" w:hAnsi="宋体" w:cs="宋体"/>
                <w:color w:val="auto"/>
                <w:sz w:val="20"/>
                <w:szCs w:val="20"/>
                <w:highlight w:val="none"/>
                <w:shd w:val="clear" w:color="auto" w:fill="FFFFFF"/>
              </w:rPr>
            </w:pPr>
            <w:r>
              <w:rPr>
                <w:rFonts w:hint="eastAsia" w:ascii="宋体" w:hAnsi="宋体" w:cs="宋体"/>
                <w:color w:val="auto"/>
                <w:sz w:val="20"/>
                <w:szCs w:val="20"/>
                <w:highlight w:val="none"/>
                <w:shd w:val="clear" w:color="auto" w:fill="FFFFFF"/>
              </w:rPr>
              <w:t>（二）投标人认为开标不符合有关规定的，应当在开标现场提出异议。招标人将当场对异议给予处理或者告知处理的办法。异议和答复应记入开标记录或者制作专门记录以存档备查。</w:t>
            </w:r>
          </w:p>
          <w:p>
            <w:pPr>
              <w:ind w:right="174" w:rightChars="83" w:firstLine="280"/>
              <w:rPr>
                <w:rFonts w:ascii="宋体" w:hAnsi="宋体" w:cs="宋体"/>
                <w:color w:val="auto"/>
                <w:sz w:val="20"/>
                <w:szCs w:val="20"/>
                <w:highlight w:val="none"/>
                <w:shd w:val="clear" w:color="auto" w:fill="FFFFFF"/>
              </w:rPr>
            </w:pPr>
            <w:r>
              <w:rPr>
                <w:rFonts w:hint="eastAsia" w:ascii="宋体" w:hAnsi="宋体" w:cs="宋体"/>
                <w:color w:val="auto"/>
                <w:sz w:val="20"/>
                <w:szCs w:val="20"/>
                <w:highlight w:val="none"/>
                <w:shd w:val="clear" w:color="auto" w:fill="FFFFFF"/>
              </w:rPr>
              <w:t>（三）投标人及其他利害关系人对评标结果有异议的，应当在中标候选人公示期内以书面形式向招标人或招标代理公司提出。招标人将在收到异议之日起3个工作日内作出书面答复；作出答复前，暂停招标投标活动。</w:t>
            </w:r>
          </w:p>
          <w:p>
            <w:pPr>
              <w:ind w:right="174" w:rightChars="83" w:firstLine="280"/>
              <w:rPr>
                <w:rFonts w:ascii="宋体" w:hAnsi="宋体" w:cs="宋体"/>
                <w:color w:val="auto"/>
                <w:sz w:val="20"/>
                <w:szCs w:val="20"/>
                <w:highlight w:val="none"/>
                <w:shd w:val="clear" w:color="auto" w:fill="FFFFFF"/>
              </w:rPr>
            </w:pPr>
            <w:r>
              <w:rPr>
                <w:rFonts w:hint="eastAsia" w:ascii="宋体" w:hAnsi="宋体" w:cs="宋体"/>
                <w:color w:val="auto"/>
                <w:sz w:val="20"/>
                <w:szCs w:val="20"/>
                <w:highlight w:val="none"/>
                <w:shd w:val="clear" w:color="auto" w:fill="FFFFFF"/>
              </w:rPr>
              <w:t>（四）对招标文件、评标结果的异议，提出和答复的形式只采用书面形式。</w:t>
            </w:r>
          </w:p>
          <w:p>
            <w:pPr>
              <w:ind w:right="174" w:rightChars="83" w:firstLine="280"/>
              <w:rPr>
                <w:rFonts w:ascii="宋体" w:hAnsi="宋体" w:cs="宋体"/>
                <w:color w:val="auto"/>
                <w:sz w:val="20"/>
                <w:szCs w:val="20"/>
                <w:highlight w:val="none"/>
                <w:shd w:val="clear" w:color="auto" w:fill="FFFFFF"/>
              </w:rPr>
            </w:pPr>
            <w:r>
              <w:rPr>
                <w:rFonts w:hint="eastAsia" w:ascii="宋体" w:hAnsi="宋体" w:cs="宋体"/>
                <w:color w:val="auto"/>
                <w:sz w:val="20"/>
                <w:szCs w:val="20"/>
                <w:highlight w:val="none"/>
                <w:shd w:val="clear" w:color="auto" w:fill="FFFFFF"/>
              </w:rPr>
              <w:t>二、投诉</w:t>
            </w:r>
          </w:p>
          <w:p>
            <w:pPr>
              <w:ind w:right="174" w:rightChars="83" w:firstLine="280"/>
              <w:rPr>
                <w:rFonts w:ascii="宋体" w:hAnsi="宋体" w:cs="宋体"/>
                <w:color w:val="auto"/>
                <w:sz w:val="20"/>
                <w:szCs w:val="20"/>
                <w:highlight w:val="none"/>
                <w:shd w:val="clear" w:color="auto" w:fill="FFFFFF"/>
              </w:rPr>
            </w:pPr>
            <w:r>
              <w:rPr>
                <w:rFonts w:hint="eastAsia" w:ascii="宋体" w:hAnsi="宋体" w:cs="宋体"/>
                <w:color w:val="auto"/>
                <w:sz w:val="20"/>
                <w:szCs w:val="20"/>
                <w:highlight w:val="none"/>
                <w:shd w:val="clear" w:color="auto" w:fill="FFFFFF"/>
              </w:rPr>
              <w:t>投标人或者其他利害关系人认为招标投标活动不符合法律、行政法规和招标文件规定的，可以自知道或者应当知道之日起10日内向有关行政监督部门投诉。投诉应当有明确的请求和必要的证明资料，具体要求按国家发改委等11号令《工程建设项目招标投标活动投诉处理办法》规定。就招标文件、开标和评标结果投诉的，应当先向招标人提出异议，异议答复期不计算在前款规定的期限内。</w:t>
            </w:r>
          </w:p>
          <w:p>
            <w:pPr>
              <w:jc w:val="left"/>
              <w:rPr>
                <w:rFonts w:ascii="宋体" w:hAnsi="宋体" w:cs="宋体"/>
                <w:color w:val="auto"/>
                <w:sz w:val="20"/>
                <w:szCs w:val="20"/>
                <w:highlight w:val="none"/>
              </w:rPr>
            </w:pPr>
            <w:r>
              <w:rPr>
                <w:rFonts w:hint="eastAsia" w:ascii="宋体" w:hAnsi="宋体" w:cs="宋体"/>
                <w:color w:val="auto"/>
                <w:sz w:val="20"/>
                <w:szCs w:val="20"/>
                <w:highlight w:val="none"/>
                <w:shd w:val="clear" w:color="auto" w:fill="FFFFFF"/>
              </w:rPr>
              <w:t>三、上述时限最后一日如遇国家法定节假日的，顺延至法定节假日后的第一个工作日。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10.3</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定标</w:t>
            </w:r>
          </w:p>
        </w:tc>
        <w:tc>
          <w:tcPr>
            <w:tcW w:w="7447" w:type="dxa"/>
            <w:vAlign w:val="center"/>
          </w:tcPr>
          <w:p>
            <w:pPr>
              <w:jc w:val="left"/>
              <w:rPr>
                <w:rFonts w:ascii="宋体" w:hAnsi="宋体" w:cs="宋体"/>
                <w:color w:val="auto"/>
                <w:sz w:val="20"/>
                <w:szCs w:val="20"/>
                <w:highlight w:val="none"/>
              </w:rPr>
            </w:pPr>
            <w:r>
              <w:rPr>
                <w:rFonts w:hint="eastAsia" w:ascii="宋体" w:hAnsi="宋体" w:cs="宋体"/>
                <w:color w:val="auto"/>
                <w:sz w:val="20"/>
                <w:szCs w:val="20"/>
                <w:highlight w:val="none"/>
                <w:shd w:val="clear" w:color="auto" w:fill="FFFFFF"/>
              </w:rPr>
              <w:t>招标人将确定评标委员会推荐的中标候选人为中标人。中标候选人放弃中标、因不可抗力不能履行合同、不按照招标文件要求提交履约保证金，或者被查实存在影响中标结果的违法行为等情形，不符合中标条件的，招标人将重新招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10.4</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shd w:val="clear" w:color="auto" w:fill="FFFFFF"/>
              </w:rPr>
              <w:t>招标人补充的其他内容</w:t>
            </w:r>
          </w:p>
        </w:tc>
        <w:tc>
          <w:tcPr>
            <w:tcW w:w="7447" w:type="dxa"/>
            <w:vAlign w:val="center"/>
          </w:tcPr>
          <w:p>
            <w:pPr>
              <w:jc w:val="left"/>
              <w:rPr>
                <w:rFonts w:ascii="宋体" w:hAnsi="宋体" w:cs="宋体"/>
                <w:color w:val="auto"/>
                <w:sz w:val="20"/>
                <w:szCs w:val="20"/>
                <w:highlight w:val="none"/>
              </w:rPr>
            </w:pPr>
            <w:r>
              <w:rPr>
                <w:rFonts w:hint="eastAsia" w:ascii="宋体" w:hAnsi="宋体" w:cs="宋体"/>
                <w:color w:val="auto"/>
                <w:sz w:val="20"/>
                <w:szCs w:val="20"/>
                <w:highlight w:val="none"/>
                <w:shd w:val="clear" w:color="auto" w:fill="FFFFFF"/>
              </w:rPr>
              <w:t>本招标项目由</w:t>
            </w:r>
            <w:r>
              <w:rPr>
                <w:rFonts w:hint="eastAsia" w:ascii="宋体" w:hAnsi="宋体" w:cs="宋体"/>
                <w:b/>
                <w:bCs/>
                <w:color w:val="auto"/>
                <w:sz w:val="20"/>
                <w:szCs w:val="20"/>
                <w:highlight w:val="none"/>
                <w:u w:val="single"/>
                <w:shd w:val="clear" w:color="auto" w:fill="FFFFFF"/>
              </w:rPr>
              <w:t>绍兴市越城区公管办</w:t>
            </w:r>
            <w:r>
              <w:rPr>
                <w:rFonts w:hint="eastAsia" w:ascii="宋体" w:hAnsi="宋体" w:cs="宋体"/>
                <w:color w:val="auto"/>
                <w:sz w:val="20"/>
                <w:szCs w:val="20"/>
                <w:highlight w:val="none"/>
                <w:shd w:val="clear" w:color="auto" w:fill="FFFFFF"/>
              </w:rPr>
              <w:t>参与监督，并请</w:t>
            </w:r>
            <w:r>
              <w:rPr>
                <w:rFonts w:hint="eastAsia" w:ascii="宋体" w:hAnsi="宋体" w:cs="宋体"/>
                <w:b/>
                <w:bCs/>
                <w:color w:val="auto"/>
                <w:sz w:val="20"/>
                <w:szCs w:val="20"/>
                <w:highlight w:val="none"/>
                <w:u w:val="single"/>
                <w:shd w:val="clear" w:color="auto" w:fill="FFFFFF"/>
              </w:rPr>
              <w:t>绍兴市国信公证处</w:t>
            </w:r>
            <w:r>
              <w:rPr>
                <w:rFonts w:hint="eastAsia" w:ascii="宋体" w:hAnsi="宋体" w:cs="宋体"/>
                <w:color w:val="auto"/>
                <w:sz w:val="20"/>
                <w:szCs w:val="20"/>
                <w:highlight w:val="none"/>
                <w:shd w:val="clear" w:color="auto" w:fill="FFFFFF"/>
              </w:rPr>
              <w:t>予以公证。</w:t>
            </w:r>
          </w:p>
        </w:tc>
      </w:tr>
    </w:tbl>
    <w:p>
      <w:pPr>
        <w:rPr>
          <w:color w:val="auto"/>
          <w:highlight w:val="none"/>
        </w:rPr>
      </w:pPr>
    </w:p>
    <w:p>
      <w:pPr>
        <w:pStyle w:val="5"/>
        <w:rPr>
          <w:color w:val="auto"/>
          <w:highlight w:val="none"/>
        </w:rPr>
      </w:pPr>
      <w:bookmarkStart w:id="3" w:name="_Toc29615"/>
      <w:r>
        <w:rPr>
          <w:rFonts w:hint="eastAsia"/>
          <w:color w:val="auto"/>
          <w:highlight w:val="none"/>
        </w:rPr>
        <w:br w:type="page"/>
      </w:r>
      <w:r>
        <w:rPr>
          <w:rFonts w:hint="eastAsia"/>
          <w:color w:val="auto"/>
          <w:highlight w:val="none"/>
        </w:rPr>
        <w:t>第二章</w:t>
      </w:r>
      <w:r>
        <w:rPr>
          <w:color w:val="auto"/>
          <w:highlight w:val="none"/>
        </w:rPr>
        <w:t xml:space="preserve"> </w:t>
      </w:r>
      <w:r>
        <w:rPr>
          <w:rFonts w:hint="eastAsia"/>
          <w:color w:val="auto"/>
          <w:highlight w:val="none"/>
        </w:rPr>
        <w:t>投标人须知</w:t>
      </w:r>
      <w:bookmarkEnd w:id="3"/>
    </w:p>
    <w:p>
      <w:pPr>
        <w:pStyle w:val="44"/>
        <w:spacing w:line="440" w:lineRule="exact"/>
        <w:rPr>
          <w:rFonts w:asciiTheme="minorEastAsia" w:hAnsiTheme="minorEastAsia" w:eastAsiaTheme="minorEastAsia" w:cstheme="minorEastAsia"/>
          <w:color w:val="auto"/>
          <w:sz w:val="24"/>
          <w:szCs w:val="24"/>
          <w:highlight w:val="none"/>
        </w:rPr>
      </w:pPr>
      <w:bookmarkStart w:id="4" w:name="_Toc11269"/>
      <w:bookmarkStart w:id="5" w:name="_Toc392345909"/>
      <w:r>
        <w:rPr>
          <w:rFonts w:hint="eastAsia" w:asciiTheme="minorEastAsia" w:hAnsiTheme="minorEastAsia" w:eastAsiaTheme="minorEastAsia" w:cstheme="minorEastAsia"/>
          <w:color w:val="auto"/>
          <w:sz w:val="24"/>
          <w:szCs w:val="24"/>
          <w:highlight w:val="none"/>
        </w:rPr>
        <w:t>1. 总则</w:t>
      </w:r>
      <w:bookmarkEnd w:id="4"/>
      <w:bookmarkEnd w:id="5"/>
    </w:p>
    <w:p>
      <w:pPr>
        <w:pStyle w:val="45"/>
        <w:spacing w:line="440" w:lineRule="exact"/>
        <w:rPr>
          <w:rFonts w:asciiTheme="minorEastAsia" w:hAnsiTheme="minorEastAsia" w:eastAsiaTheme="minorEastAsia" w:cstheme="minorEastAsia"/>
          <w:b/>
          <w:color w:val="auto"/>
          <w:szCs w:val="24"/>
          <w:highlight w:val="none"/>
        </w:rPr>
      </w:pPr>
      <w:bookmarkStart w:id="6" w:name="_Toc144974498"/>
      <w:bookmarkStart w:id="7" w:name="_Toc229646712"/>
      <w:bookmarkStart w:id="8" w:name="_Toc9106"/>
      <w:bookmarkStart w:id="9" w:name="_Toc152045530"/>
      <w:bookmarkStart w:id="10" w:name="_Toc152042306"/>
      <w:bookmarkStart w:id="11" w:name="_Toc392345910"/>
      <w:r>
        <w:rPr>
          <w:rFonts w:hint="eastAsia" w:asciiTheme="minorEastAsia" w:hAnsiTheme="minorEastAsia" w:eastAsiaTheme="minorEastAsia" w:cstheme="minorEastAsia"/>
          <w:b/>
          <w:color w:val="auto"/>
          <w:szCs w:val="24"/>
          <w:highlight w:val="none"/>
        </w:rPr>
        <w:t>1.1 项目概况</w:t>
      </w:r>
      <w:bookmarkEnd w:id="6"/>
      <w:bookmarkEnd w:id="7"/>
      <w:bookmarkEnd w:id="8"/>
      <w:bookmarkEnd w:id="9"/>
      <w:bookmarkEnd w:id="10"/>
      <w:bookmarkEnd w:id="11"/>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1.1.1根据《中华人民共和国招标投标法》、《中华人民共和国招标投标法实施条例》、《浙江省招标投标条例》、《评标委员会和评标办法暂行规定》（国家发展计划委员会等七部委第12号令）、《浙江省重点建设工程发包承包管理办法》等有关法律、法规和规章的规定，本项目已具备招标条件，现对本货物采购标段进行招标。</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1.1.2 本招标项目招标人：见投标人须知前附表。</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1.1.3 本招标项目招标代理机构：见投标人须知前附表。</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1.1.4 本招标项目名称：见投标人须知前附表。</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1.1.5 本招标项目建设地点：见投标人须知前附表。</w:t>
      </w:r>
    </w:p>
    <w:p>
      <w:pPr>
        <w:pStyle w:val="45"/>
        <w:spacing w:line="440" w:lineRule="exact"/>
        <w:rPr>
          <w:rFonts w:asciiTheme="minorEastAsia" w:hAnsiTheme="minorEastAsia" w:eastAsiaTheme="minorEastAsia" w:cstheme="minorEastAsia"/>
          <w:b/>
          <w:color w:val="auto"/>
          <w:szCs w:val="24"/>
          <w:highlight w:val="none"/>
        </w:rPr>
      </w:pPr>
      <w:bookmarkStart w:id="12" w:name="_Toc152042307"/>
      <w:bookmarkStart w:id="13" w:name="_Toc152045531"/>
      <w:bookmarkStart w:id="14" w:name="_Toc144974499"/>
      <w:bookmarkStart w:id="15" w:name="_Toc3629"/>
      <w:bookmarkStart w:id="16" w:name="_Toc392345911"/>
      <w:bookmarkStart w:id="17" w:name="_Toc229646713"/>
      <w:r>
        <w:rPr>
          <w:rFonts w:hint="eastAsia" w:asciiTheme="minorEastAsia" w:hAnsiTheme="minorEastAsia" w:eastAsiaTheme="minorEastAsia" w:cstheme="minorEastAsia"/>
          <w:b/>
          <w:color w:val="auto"/>
          <w:szCs w:val="24"/>
          <w:highlight w:val="none"/>
        </w:rPr>
        <w:t>1.2 资金来源和落实情况</w:t>
      </w:r>
      <w:bookmarkEnd w:id="12"/>
      <w:bookmarkEnd w:id="13"/>
      <w:bookmarkEnd w:id="14"/>
      <w:bookmarkEnd w:id="15"/>
      <w:bookmarkEnd w:id="16"/>
      <w:bookmarkEnd w:id="17"/>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1.2.1 本招标项目的资金来源及出资比例：见投标人须知前附表。</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1.2.2本招标项目的资金落实情况：见投标人须知前附表。</w:t>
      </w:r>
    </w:p>
    <w:p>
      <w:pPr>
        <w:pStyle w:val="45"/>
        <w:spacing w:line="440" w:lineRule="exact"/>
        <w:rPr>
          <w:rFonts w:asciiTheme="minorEastAsia" w:hAnsiTheme="minorEastAsia" w:eastAsiaTheme="minorEastAsia" w:cstheme="minorEastAsia"/>
          <w:b/>
          <w:color w:val="auto"/>
          <w:szCs w:val="24"/>
          <w:highlight w:val="none"/>
        </w:rPr>
      </w:pPr>
      <w:bookmarkStart w:id="18" w:name="_Toc229646714"/>
      <w:bookmarkStart w:id="19" w:name="_Toc460"/>
      <w:bookmarkStart w:id="20" w:name="_Toc152045532"/>
      <w:bookmarkStart w:id="21" w:name="_Toc152042308"/>
      <w:bookmarkStart w:id="22" w:name="_Toc392345912"/>
      <w:bookmarkStart w:id="23" w:name="_Toc144974500"/>
      <w:r>
        <w:rPr>
          <w:rFonts w:hint="eastAsia" w:asciiTheme="minorEastAsia" w:hAnsiTheme="minorEastAsia" w:eastAsiaTheme="minorEastAsia" w:cstheme="minorEastAsia"/>
          <w:b/>
          <w:color w:val="auto"/>
          <w:szCs w:val="24"/>
          <w:highlight w:val="none"/>
        </w:rPr>
        <w:t>1.3 招标范围及计划服务期</w:t>
      </w:r>
      <w:bookmarkEnd w:id="18"/>
      <w:bookmarkEnd w:id="19"/>
      <w:bookmarkEnd w:id="20"/>
      <w:bookmarkEnd w:id="21"/>
      <w:bookmarkEnd w:id="22"/>
      <w:bookmarkEnd w:id="23"/>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1.3.1 本次招标范围：见投标人须知前附表。</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1.3.2 本招标项目的计划服务期：见投标人须知前附表。</w:t>
      </w:r>
    </w:p>
    <w:p>
      <w:pPr>
        <w:pStyle w:val="45"/>
        <w:spacing w:line="440" w:lineRule="exact"/>
        <w:rPr>
          <w:rFonts w:asciiTheme="minorEastAsia" w:hAnsiTheme="minorEastAsia" w:eastAsiaTheme="minorEastAsia" w:cstheme="minorEastAsia"/>
          <w:b/>
          <w:color w:val="auto"/>
          <w:szCs w:val="24"/>
          <w:highlight w:val="none"/>
        </w:rPr>
      </w:pPr>
      <w:bookmarkStart w:id="24" w:name="_Toc152045534"/>
      <w:bookmarkStart w:id="25" w:name="_Toc22287"/>
      <w:bookmarkStart w:id="26" w:name="_Toc229646715"/>
      <w:bookmarkStart w:id="27" w:name="_Toc392345913"/>
      <w:bookmarkStart w:id="28" w:name="_Toc144974502"/>
      <w:bookmarkStart w:id="29" w:name="_Toc152042310"/>
      <w:r>
        <w:rPr>
          <w:rFonts w:hint="eastAsia" w:asciiTheme="minorEastAsia" w:hAnsiTheme="minorEastAsia" w:eastAsiaTheme="minorEastAsia" w:cstheme="minorEastAsia"/>
          <w:b/>
          <w:color w:val="auto"/>
          <w:szCs w:val="24"/>
          <w:highlight w:val="none"/>
        </w:rPr>
        <w:t>1.4 投标人资格要求</w:t>
      </w:r>
      <w:bookmarkEnd w:id="24"/>
      <w:bookmarkEnd w:id="25"/>
      <w:bookmarkEnd w:id="26"/>
      <w:bookmarkEnd w:id="27"/>
      <w:bookmarkEnd w:id="28"/>
      <w:bookmarkEnd w:id="29"/>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1.4.1投标人应具备承担本标段服务的资格条件、要求。</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（1）资质条件：见投标人须知前附表；</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（2）业绩要求：见投标人须知前附表；</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（3）信誉要求：见投标人须知前附表；</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（4）其他要求：见投标人须知前附表。</w:t>
      </w:r>
    </w:p>
    <w:p>
      <w:pPr>
        <w:ind w:firstLine="480" w:firstLineChars="200"/>
        <w:rPr>
          <w:rFonts w:asciiTheme="minorEastAsia" w:hAnsiTheme="minorEastAsia" w:eastAsiaTheme="minorEastAsia" w:cstheme="minorEastAsia"/>
          <w:strike/>
          <w:color w:val="auto"/>
          <w:sz w:val="24"/>
          <w:szCs w:val="24"/>
          <w:highlight w:val="none"/>
        </w:rPr>
      </w:pPr>
      <w:bookmarkStart w:id="30" w:name="_Toc229646716"/>
      <w:bookmarkStart w:id="31" w:name="_Toc152045535"/>
      <w:bookmarkStart w:id="32" w:name="_Toc152042311"/>
      <w:bookmarkStart w:id="33" w:name="_Toc144974503"/>
      <w:r>
        <w:rPr>
          <w:rFonts w:hint="eastAsia" w:asciiTheme="minorEastAsia" w:hAnsiTheme="minorEastAsia" w:eastAsiaTheme="minorEastAsia" w:cstheme="minorEastAsia"/>
          <w:strike/>
          <w:color w:val="auto"/>
          <w:sz w:val="24"/>
          <w:szCs w:val="24"/>
          <w:highlight w:val="none"/>
        </w:rPr>
        <w:t>1.4.2投标人须知前附表规定接受联合体投标的，除应符合本章第1.4.1项和投标人须知前附表的要求外，还应遵守以下规定：</w:t>
      </w:r>
    </w:p>
    <w:p>
      <w:pPr>
        <w:ind w:firstLine="480" w:firstLineChars="200"/>
        <w:rPr>
          <w:rFonts w:asciiTheme="minorEastAsia" w:hAnsiTheme="minorEastAsia" w:eastAsiaTheme="minorEastAsia" w:cstheme="minorEastAsia"/>
          <w:strike/>
          <w:color w:val="auto"/>
          <w:sz w:val="24"/>
          <w:szCs w:val="24"/>
          <w:highlight w:val="none"/>
        </w:rPr>
      </w:pPr>
      <w:r>
        <w:rPr>
          <w:rFonts w:hint="eastAsia" w:asciiTheme="minorEastAsia" w:hAnsiTheme="minorEastAsia" w:eastAsiaTheme="minorEastAsia" w:cstheme="minorEastAsia"/>
          <w:strike/>
          <w:color w:val="auto"/>
          <w:sz w:val="24"/>
          <w:szCs w:val="24"/>
          <w:highlight w:val="none"/>
        </w:rPr>
        <w:t>（1）联合体各方应按招标文件提供的格式签订联合体协议书，明确联合体牵头人和各方权利义务；</w:t>
      </w:r>
    </w:p>
    <w:p>
      <w:pPr>
        <w:ind w:firstLine="480" w:firstLineChars="200"/>
        <w:rPr>
          <w:rFonts w:asciiTheme="minorEastAsia" w:hAnsiTheme="minorEastAsia" w:eastAsiaTheme="minorEastAsia" w:cstheme="minorEastAsia"/>
          <w:strike/>
          <w:color w:val="auto"/>
          <w:sz w:val="24"/>
          <w:szCs w:val="24"/>
          <w:highlight w:val="none"/>
        </w:rPr>
      </w:pPr>
      <w:r>
        <w:rPr>
          <w:rFonts w:hint="eastAsia" w:asciiTheme="minorEastAsia" w:hAnsiTheme="minorEastAsia" w:eastAsiaTheme="minorEastAsia" w:cstheme="minorEastAsia"/>
          <w:strike/>
          <w:color w:val="auto"/>
          <w:sz w:val="24"/>
          <w:szCs w:val="24"/>
          <w:highlight w:val="none"/>
        </w:rPr>
        <w:t>（2）由同一专业的单位组成的联合体，按照资质等级较低的单位确定资质等级；</w:t>
      </w:r>
    </w:p>
    <w:p>
      <w:pPr>
        <w:ind w:firstLine="480" w:firstLineChars="200"/>
        <w:rPr>
          <w:rFonts w:asciiTheme="minorEastAsia" w:hAnsiTheme="minorEastAsia" w:eastAsiaTheme="minorEastAsia" w:cstheme="minorEastAsia"/>
          <w:strike/>
          <w:color w:val="auto"/>
          <w:sz w:val="24"/>
          <w:szCs w:val="24"/>
          <w:highlight w:val="none"/>
        </w:rPr>
      </w:pPr>
      <w:r>
        <w:rPr>
          <w:rFonts w:hint="eastAsia" w:asciiTheme="minorEastAsia" w:hAnsiTheme="minorEastAsia" w:eastAsiaTheme="minorEastAsia" w:cstheme="minorEastAsia"/>
          <w:strike/>
          <w:color w:val="auto"/>
          <w:sz w:val="24"/>
          <w:szCs w:val="24"/>
          <w:highlight w:val="none"/>
        </w:rPr>
        <w:t>（3）联合体各方不得再以自己名次单独或参加其他联合体在同一标段中投标。</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1.4.3投标人不得存在下列情形之一：</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（1）为招标人不具有独立法人资格的附属机构（单位）； </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（2）为本标段的代建人；</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（3）为本标段提供招标代理服务的；</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（4）单位负责人为同一人或者存在控股、管理关系的不同单位，同时参加本标段投标的；</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（5）投标人及其法定代表人控股的其他公司，同时参加本标段投标的；</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（6）与招标人存在利害关系可能影响招标公正性的法人、其他组织或者个人参加投标的；</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（7）被责令停业的；</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（8）被暂停或取消投标资格的；</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（9）财产被接管或冻结的。</w:t>
      </w:r>
    </w:p>
    <w:p>
      <w:pPr>
        <w:pStyle w:val="45"/>
        <w:spacing w:line="440" w:lineRule="exact"/>
        <w:rPr>
          <w:rFonts w:asciiTheme="minorEastAsia" w:hAnsiTheme="minorEastAsia" w:eastAsiaTheme="minorEastAsia" w:cstheme="minorEastAsia"/>
          <w:b/>
          <w:color w:val="auto"/>
          <w:szCs w:val="24"/>
          <w:highlight w:val="none"/>
        </w:rPr>
      </w:pPr>
      <w:bookmarkStart w:id="34" w:name="_Toc10130"/>
      <w:bookmarkStart w:id="35" w:name="_Toc392345914"/>
      <w:r>
        <w:rPr>
          <w:rFonts w:hint="eastAsia" w:asciiTheme="minorEastAsia" w:hAnsiTheme="minorEastAsia" w:eastAsiaTheme="minorEastAsia" w:cstheme="minorEastAsia"/>
          <w:b/>
          <w:color w:val="auto"/>
          <w:szCs w:val="24"/>
          <w:highlight w:val="none"/>
        </w:rPr>
        <w:t>1.5 费用承担</w:t>
      </w:r>
      <w:bookmarkEnd w:id="30"/>
      <w:bookmarkEnd w:id="31"/>
      <w:bookmarkEnd w:id="32"/>
      <w:bookmarkEnd w:id="33"/>
      <w:bookmarkEnd w:id="34"/>
      <w:bookmarkEnd w:id="35"/>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投标人准备和参加投标活动发生的费用自理。</w:t>
      </w:r>
    </w:p>
    <w:p>
      <w:pPr>
        <w:pStyle w:val="45"/>
        <w:spacing w:line="440" w:lineRule="exact"/>
        <w:rPr>
          <w:rFonts w:asciiTheme="minorEastAsia" w:hAnsiTheme="minorEastAsia" w:eastAsiaTheme="minorEastAsia" w:cstheme="minorEastAsia"/>
          <w:b/>
          <w:color w:val="auto"/>
          <w:szCs w:val="24"/>
          <w:highlight w:val="none"/>
        </w:rPr>
      </w:pPr>
      <w:bookmarkStart w:id="36" w:name="_Toc392345915"/>
      <w:bookmarkStart w:id="37" w:name="_Toc152042312"/>
      <w:bookmarkStart w:id="38" w:name="_Toc25357"/>
      <w:bookmarkStart w:id="39" w:name="_Toc144974504"/>
      <w:bookmarkStart w:id="40" w:name="_Toc245036603"/>
      <w:bookmarkStart w:id="41" w:name="_Toc322615398"/>
      <w:bookmarkStart w:id="42" w:name="_Toc152045536"/>
      <w:bookmarkStart w:id="43" w:name="_Toc323711750"/>
      <w:bookmarkStart w:id="44" w:name="_Toc319408072"/>
      <w:bookmarkStart w:id="45" w:name="_Toc319407837"/>
      <w:bookmarkStart w:id="46" w:name="_Toc152042318"/>
      <w:bookmarkStart w:id="47" w:name="_Toc229646724"/>
      <w:bookmarkStart w:id="48" w:name="_Toc152045542"/>
      <w:bookmarkStart w:id="49" w:name="_Toc144974510"/>
      <w:r>
        <w:rPr>
          <w:rFonts w:hint="eastAsia" w:asciiTheme="minorEastAsia" w:hAnsiTheme="minorEastAsia" w:eastAsiaTheme="minorEastAsia" w:cstheme="minorEastAsia"/>
          <w:b/>
          <w:color w:val="auto"/>
          <w:szCs w:val="24"/>
          <w:highlight w:val="none"/>
        </w:rPr>
        <w:t>1.6 保密</w:t>
      </w:r>
      <w:bookmarkEnd w:id="36"/>
      <w:bookmarkEnd w:id="37"/>
      <w:bookmarkEnd w:id="38"/>
      <w:bookmarkEnd w:id="39"/>
      <w:bookmarkEnd w:id="40"/>
      <w:bookmarkEnd w:id="41"/>
      <w:bookmarkEnd w:id="42"/>
      <w:bookmarkEnd w:id="43"/>
      <w:bookmarkEnd w:id="44"/>
      <w:bookmarkEnd w:id="45"/>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参与招标投标活动的各方应对招标文件和投标文件中的商业和技术等秘密保密，违者应对由此造成的后果承担法律责任。 </w:t>
      </w:r>
    </w:p>
    <w:p>
      <w:pPr>
        <w:pStyle w:val="45"/>
        <w:spacing w:line="440" w:lineRule="exact"/>
        <w:rPr>
          <w:rFonts w:asciiTheme="minorEastAsia" w:hAnsiTheme="minorEastAsia" w:eastAsiaTheme="minorEastAsia" w:cstheme="minorEastAsia"/>
          <w:b/>
          <w:color w:val="auto"/>
          <w:szCs w:val="24"/>
          <w:highlight w:val="none"/>
        </w:rPr>
      </w:pPr>
      <w:bookmarkStart w:id="50" w:name="_Toc144974505"/>
      <w:bookmarkStart w:id="51" w:name="_Toc152042313"/>
      <w:bookmarkStart w:id="52" w:name="_Toc319408073"/>
      <w:bookmarkStart w:id="53" w:name="_Toc245036604"/>
      <w:bookmarkStart w:id="54" w:name="_Toc152045537"/>
      <w:bookmarkStart w:id="55" w:name="_Toc392345916"/>
      <w:bookmarkStart w:id="56" w:name="_Toc322615399"/>
      <w:bookmarkStart w:id="57" w:name="_Toc319407838"/>
      <w:bookmarkStart w:id="58" w:name="_Toc4033"/>
      <w:bookmarkStart w:id="59" w:name="_Toc323711751"/>
      <w:r>
        <w:rPr>
          <w:rFonts w:hint="eastAsia" w:asciiTheme="minorEastAsia" w:hAnsiTheme="minorEastAsia" w:eastAsiaTheme="minorEastAsia" w:cstheme="minorEastAsia"/>
          <w:b/>
          <w:color w:val="auto"/>
          <w:szCs w:val="24"/>
          <w:highlight w:val="none"/>
        </w:rPr>
        <w:t>1.7 语言</w:t>
      </w:r>
      <w:bookmarkEnd w:id="50"/>
      <w:r>
        <w:rPr>
          <w:rFonts w:hint="eastAsia" w:asciiTheme="minorEastAsia" w:hAnsiTheme="minorEastAsia" w:eastAsiaTheme="minorEastAsia" w:cstheme="minorEastAsia"/>
          <w:b/>
          <w:color w:val="auto"/>
          <w:szCs w:val="24"/>
          <w:highlight w:val="none"/>
        </w:rPr>
        <w:t>文字</w:t>
      </w:r>
      <w:bookmarkEnd w:id="51"/>
      <w:bookmarkEnd w:id="52"/>
      <w:bookmarkEnd w:id="53"/>
      <w:bookmarkEnd w:id="54"/>
      <w:bookmarkEnd w:id="55"/>
      <w:bookmarkEnd w:id="56"/>
      <w:bookmarkEnd w:id="57"/>
      <w:bookmarkEnd w:id="58"/>
      <w:bookmarkEnd w:id="59"/>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除专用术语外，与招标投标有关的语言均使用中文。必要时专用术语应附有中文注释。</w:t>
      </w:r>
    </w:p>
    <w:p>
      <w:pPr>
        <w:pStyle w:val="45"/>
        <w:spacing w:line="440" w:lineRule="exact"/>
        <w:rPr>
          <w:rFonts w:asciiTheme="minorEastAsia" w:hAnsiTheme="minorEastAsia" w:eastAsiaTheme="minorEastAsia" w:cstheme="minorEastAsia"/>
          <w:b/>
          <w:color w:val="auto"/>
          <w:szCs w:val="24"/>
          <w:highlight w:val="none"/>
        </w:rPr>
      </w:pPr>
      <w:bookmarkStart w:id="60" w:name="_Toc319407839"/>
      <w:bookmarkStart w:id="61" w:name="_Toc31144"/>
      <w:bookmarkStart w:id="62" w:name="_Toc319408074"/>
      <w:bookmarkStart w:id="63" w:name="_Toc152042314"/>
      <w:bookmarkStart w:id="64" w:name="_Toc322615400"/>
      <w:bookmarkStart w:id="65" w:name="_Toc144974506"/>
      <w:bookmarkStart w:id="66" w:name="_Toc245036605"/>
      <w:bookmarkStart w:id="67" w:name="_Toc392345917"/>
      <w:bookmarkStart w:id="68" w:name="_Toc152045538"/>
      <w:bookmarkStart w:id="69" w:name="_Toc323711752"/>
      <w:r>
        <w:rPr>
          <w:rFonts w:hint="eastAsia" w:asciiTheme="minorEastAsia" w:hAnsiTheme="minorEastAsia" w:eastAsiaTheme="minorEastAsia" w:cstheme="minorEastAsia"/>
          <w:b/>
          <w:color w:val="auto"/>
          <w:szCs w:val="24"/>
          <w:highlight w:val="none"/>
        </w:rPr>
        <w:t>1.8 计量单位</w:t>
      </w:r>
      <w:bookmarkEnd w:id="60"/>
      <w:bookmarkEnd w:id="61"/>
      <w:bookmarkEnd w:id="62"/>
      <w:bookmarkEnd w:id="63"/>
      <w:bookmarkEnd w:id="64"/>
      <w:bookmarkEnd w:id="65"/>
      <w:bookmarkEnd w:id="66"/>
      <w:bookmarkEnd w:id="67"/>
      <w:bookmarkEnd w:id="68"/>
      <w:bookmarkEnd w:id="69"/>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所有计量均采用中华人民共和国法定计量单位。</w:t>
      </w:r>
    </w:p>
    <w:p>
      <w:pPr>
        <w:pStyle w:val="45"/>
        <w:spacing w:line="440" w:lineRule="exact"/>
        <w:rPr>
          <w:rFonts w:asciiTheme="minorEastAsia" w:hAnsiTheme="minorEastAsia" w:eastAsiaTheme="minorEastAsia" w:cstheme="minorEastAsia"/>
          <w:b/>
          <w:color w:val="auto"/>
          <w:szCs w:val="24"/>
          <w:highlight w:val="none"/>
        </w:rPr>
      </w:pPr>
      <w:bookmarkStart w:id="70" w:name="_Toc144974507"/>
      <w:bookmarkStart w:id="71" w:name="_Toc392345918"/>
      <w:bookmarkStart w:id="72" w:name="_Toc323711753"/>
      <w:bookmarkStart w:id="73" w:name="_Toc152042315"/>
      <w:bookmarkStart w:id="74" w:name="_Toc152045539"/>
      <w:bookmarkStart w:id="75" w:name="_Toc319407840"/>
      <w:bookmarkStart w:id="76" w:name="_Toc926"/>
      <w:bookmarkStart w:id="77" w:name="_Toc245036606"/>
      <w:bookmarkStart w:id="78" w:name="_Toc319408075"/>
      <w:bookmarkStart w:id="79" w:name="_Toc322615401"/>
      <w:r>
        <w:rPr>
          <w:rFonts w:hint="eastAsia" w:asciiTheme="minorEastAsia" w:hAnsiTheme="minorEastAsia" w:eastAsiaTheme="minorEastAsia" w:cstheme="minorEastAsia"/>
          <w:b/>
          <w:color w:val="auto"/>
          <w:szCs w:val="24"/>
          <w:highlight w:val="none"/>
        </w:rPr>
        <w:t>1.9 踏勘现场</w:t>
      </w:r>
      <w:bookmarkEnd w:id="70"/>
      <w:bookmarkEnd w:id="71"/>
      <w:bookmarkEnd w:id="72"/>
      <w:bookmarkEnd w:id="73"/>
      <w:bookmarkEnd w:id="74"/>
      <w:bookmarkEnd w:id="75"/>
      <w:bookmarkEnd w:id="76"/>
      <w:bookmarkEnd w:id="77"/>
      <w:bookmarkEnd w:id="78"/>
      <w:bookmarkEnd w:id="79"/>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1.9.1 投标人须知前附表规定组织踏勘现场的，招标人按投标人须知前附表规定的时间、地点组织投标人踏勘项目现场。 </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1.9.2 投标人踏勘现场发生的费用自理。</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1.9.3 除招标人的原因外，投标人自行负责在踏勘现场中所发生的人员伤亡和财产损失。</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1.9.4 招标人在踏勘现场中介绍的工程场地和相关的周边环境情况，供投标人在编制投标文件时参考，招标人不对投标人据此作出的判断和决策负责。</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1.9.5 招标人提供的本工程的相关参考资料，并不构成合同文件的组成部分，投标人应对上述资料的解释、推论和应用负责，招标人不对投标人据此作出的判断和决策承担任何责任。</w:t>
      </w:r>
    </w:p>
    <w:p>
      <w:pPr>
        <w:pStyle w:val="45"/>
        <w:spacing w:line="440" w:lineRule="exact"/>
        <w:rPr>
          <w:rFonts w:asciiTheme="minorEastAsia" w:hAnsiTheme="minorEastAsia" w:eastAsiaTheme="minorEastAsia" w:cstheme="minorEastAsia"/>
          <w:b/>
          <w:color w:val="auto"/>
          <w:szCs w:val="24"/>
          <w:highlight w:val="none"/>
        </w:rPr>
      </w:pPr>
      <w:bookmarkStart w:id="80" w:name="_Toc152045540"/>
      <w:bookmarkStart w:id="81" w:name="_Toc319407841"/>
      <w:bookmarkStart w:id="82" w:name="_Toc144974508"/>
      <w:bookmarkStart w:id="83" w:name="_Toc152042316"/>
      <w:bookmarkStart w:id="84" w:name="_Toc322615402"/>
      <w:bookmarkStart w:id="85" w:name="_Toc245036607"/>
      <w:bookmarkStart w:id="86" w:name="_Toc323711754"/>
      <w:bookmarkStart w:id="87" w:name="_Toc392345919"/>
      <w:bookmarkStart w:id="88" w:name="_Toc319408076"/>
      <w:bookmarkStart w:id="89" w:name="_Toc1967"/>
      <w:r>
        <w:rPr>
          <w:rFonts w:hint="eastAsia" w:asciiTheme="minorEastAsia" w:hAnsiTheme="minorEastAsia" w:eastAsiaTheme="minorEastAsia" w:cstheme="minorEastAsia"/>
          <w:b/>
          <w:color w:val="auto"/>
          <w:szCs w:val="24"/>
          <w:highlight w:val="none"/>
        </w:rPr>
        <w:t xml:space="preserve">1.10 </w:t>
      </w:r>
      <w:bookmarkEnd w:id="80"/>
      <w:bookmarkEnd w:id="81"/>
      <w:bookmarkEnd w:id="82"/>
      <w:bookmarkEnd w:id="83"/>
      <w:bookmarkEnd w:id="84"/>
      <w:bookmarkEnd w:id="85"/>
      <w:bookmarkEnd w:id="86"/>
      <w:bookmarkEnd w:id="87"/>
      <w:bookmarkEnd w:id="88"/>
      <w:r>
        <w:rPr>
          <w:rFonts w:hint="eastAsia" w:asciiTheme="minorEastAsia" w:hAnsiTheme="minorEastAsia" w:eastAsiaTheme="minorEastAsia" w:cstheme="minorEastAsia"/>
          <w:b/>
          <w:color w:val="auto"/>
          <w:szCs w:val="24"/>
          <w:highlight w:val="none"/>
        </w:rPr>
        <w:t>投标预备会</w:t>
      </w:r>
      <w:bookmarkEnd w:id="89"/>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1.10.1投标人须知前附表规定召开投标预备会的，招标人按投标人须知前附表规定的时间和地点召开投标预备会，澄清投标人提出的问题。</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1.10.2投标人应在投标人须知前附表规定的时间前，以电子邮件的形式（可匿名）将提出的问题发至招标人的电子邮箱。</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1.10.3招标人在投标人须知前附表规定的时间内，将对投标人所提问题进行澄清和对招标文件的补充、修改，并在投标人须知前附表1.10.4指定的网站上公开发布。该澄清内容为招标文件的组成部分。</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1.10.4上传疑问邮箱，下载澄清、修改、补充文件网址见投标人须知前附表。</w:t>
      </w:r>
    </w:p>
    <w:p>
      <w:pPr>
        <w:pStyle w:val="45"/>
        <w:spacing w:line="440" w:lineRule="exact"/>
        <w:rPr>
          <w:rFonts w:asciiTheme="minorEastAsia" w:hAnsiTheme="minorEastAsia" w:eastAsiaTheme="minorEastAsia" w:cstheme="minorEastAsia"/>
          <w:b/>
          <w:color w:val="auto"/>
          <w:szCs w:val="24"/>
          <w:highlight w:val="none"/>
        </w:rPr>
      </w:pPr>
      <w:bookmarkStart w:id="90" w:name="_Toc27344"/>
      <w:r>
        <w:rPr>
          <w:rFonts w:hint="eastAsia" w:asciiTheme="minorEastAsia" w:hAnsiTheme="minorEastAsia" w:eastAsiaTheme="minorEastAsia" w:cstheme="minorEastAsia"/>
          <w:b/>
          <w:color w:val="auto"/>
          <w:szCs w:val="24"/>
          <w:highlight w:val="none"/>
        </w:rPr>
        <w:t>1.11分包</w:t>
      </w:r>
      <w:bookmarkEnd w:id="90"/>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投标人拟在中标后将中标项目的部分非主体、非关键性工作进行分包的，应符合投标人须知前附表规定的分包内容、分包金额和资质要求等限制性条件。</w:t>
      </w:r>
    </w:p>
    <w:p>
      <w:pPr>
        <w:pStyle w:val="45"/>
        <w:spacing w:line="440" w:lineRule="exact"/>
        <w:rPr>
          <w:rFonts w:asciiTheme="minorEastAsia" w:hAnsiTheme="minorEastAsia" w:eastAsiaTheme="minorEastAsia" w:cstheme="minorEastAsia"/>
          <w:b/>
          <w:color w:val="auto"/>
          <w:szCs w:val="24"/>
          <w:highlight w:val="none"/>
        </w:rPr>
      </w:pPr>
      <w:bookmarkStart w:id="91" w:name="_Toc13279"/>
      <w:r>
        <w:rPr>
          <w:rFonts w:hint="eastAsia" w:asciiTheme="minorEastAsia" w:hAnsiTheme="minorEastAsia" w:eastAsiaTheme="minorEastAsia" w:cstheme="minorEastAsia"/>
          <w:b/>
          <w:color w:val="auto"/>
          <w:szCs w:val="24"/>
          <w:highlight w:val="none"/>
        </w:rPr>
        <w:t>1.12偏离</w:t>
      </w:r>
      <w:bookmarkEnd w:id="91"/>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投标人须知前附表允许投标文件偏离招标文件某些要求的，偏离应当符合招标文件的规定。</w:t>
      </w:r>
    </w:p>
    <w:bookmarkEnd w:id="46"/>
    <w:bookmarkEnd w:id="47"/>
    <w:bookmarkEnd w:id="48"/>
    <w:bookmarkEnd w:id="49"/>
    <w:p>
      <w:pPr>
        <w:pStyle w:val="44"/>
        <w:spacing w:line="440" w:lineRule="exact"/>
        <w:rPr>
          <w:rFonts w:asciiTheme="minorEastAsia" w:hAnsiTheme="minorEastAsia" w:eastAsiaTheme="minorEastAsia" w:cstheme="minorEastAsia"/>
          <w:color w:val="auto"/>
          <w:sz w:val="24"/>
          <w:szCs w:val="24"/>
          <w:highlight w:val="none"/>
        </w:rPr>
      </w:pPr>
      <w:bookmarkStart w:id="92" w:name="_Toc245036610"/>
      <w:bookmarkStart w:id="93" w:name="_Toc392345920"/>
      <w:bookmarkStart w:id="94" w:name="_Toc17"/>
      <w:bookmarkStart w:id="95" w:name="_Toc323711757"/>
      <w:bookmarkStart w:id="96" w:name="_Toc229646728"/>
      <w:bookmarkStart w:id="97" w:name="_Toc152045546"/>
      <w:bookmarkStart w:id="98" w:name="_Toc144974514"/>
      <w:bookmarkStart w:id="99" w:name="_Toc152042322"/>
      <w:bookmarkStart w:id="100" w:name="_Toc144974516"/>
      <w:bookmarkStart w:id="101" w:name="_Toc152042324"/>
      <w:bookmarkStart w:id="102" w:name="_Toc229646730"/>
      <w:bookmarkStart w:id="103" w:name="_Toc152045548"/>
      <w:r>
        <w:rPr>
          <w:rFonts w:hint="eastAsia" w:asciiTheme="minorEastAsia" w:hAnsiTheme="minorEastAsia" w:eastAsiaTheme="minorEastAsia" w:cstheme="minorEastAsia"/>
          <w:color w:val="auto"/>
          <w:sz w:val="24"/>
          <w:szCs w:val="24"/>
          <w:highlight w:val="none"/>
        </w:rPr>
        <w:t>2. 招标文件</w:t>
      </w:r>
      <w:bookmarkEnd w:id="92"/>
      <w:bookmarkEnd w:id="93"/>
      <w:bookmarkEnd w:id="94"/>
      <w:bookmarkEnd w:id="95"/>
    </w:p>
    <w:p>
      <w:pPr>
        <w:pStyle w:val="45"/>
        <w:spacing w:line="440" w:lineRule="exact"/>
        <w:rPr>
          <w:rFonts w:asciiTheme="minorEastAsia" w:hAnsiTheme="minorEastAsia" w:eastAsiaTheme="minorEastAsia" w:cstheme="minorEastAsia"/>
          <w:b/>
          <w:color w:val="auto"/>
          <w:szCs w:val="24"/>
          <w:highlight w:val="none"/>
        </w:rPr>
      </w:pPr>
      <w:bookmarkStart w:id="104" w:name="_Toc144974511"/>
      <w:bookmarkStart w:id="105" w:name="_Toc319408080"/>
      <w:bookmarkStart w:id="106" w:name="_Toc152045543"/>
      <w:bookmarkStart w:id="107" w:name="_Toc245036611"/>
      <w:bookmarkStart w:id="108" w:name="_Toc152042319"/>
      <w:bookmarkStart w:id="109" w:name="_Toc392345921"/>
      <w:bookmarkStart w:id="110" w:name="_Toc323711758"/>
      <w:bookmarkStart w:id="111" w:name="_Toc319407845"/>
      <w:bookmarkStart w:id="112" w:name="_Toc26955"/>
      <w:bookmarkStart w:id="113" w:name="_Toc322615406"/>
      <w:r>
        <w:rPr>
          <w:rFonts w:hint="eastAsia" w:asciiTheme="minorEastAsia" w:hAnsiTheme="minorEastAsia" w:eastAsiaTheme="minorEastAsia" w:cstheme="minorEastAsia"/>
          <w:b/>
          <w:color w:val="auto"/>
          <w:szCs w:val="24"/>
          <w:highlight w:val="none"/>
        </w:rPr>
        <w:t>2.1 招标文件的组成</w:t>
      </w:r>
      <w:bookmarkEnd w:id="104"/>
      <w:bookmarkEnd w:id="105"/>
      <w:bookmarkEnd w:id="106"/>
      <w:bookmarkEnd w:id="107"/>
      <w:bookmarkEnd w:id="108"/>
      <w:bookmarkEnd w:id="109"/>
      <w:bookmarkEnd w:id="110"/>
      <w:bookmarkEnd w:id="111"/>
      <w:bookmarkEnd w:id="112"/>
      <w:bookmarkEnd w:id="113"/>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本招标文件包括：</w:t>
      </w:r>
    </w:p>
    <w:p>
      <w:pPr>
        <w:ind w:firstLine="410" w:firstLineChars="171"/>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（1）招标公告；</w:t>
      </w:r>
    </w:p>
    <w:p>
      <w:pPr>
        <w:ind w:firstLine="410" w:firstLineChars="171"/>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（2）投标人须知；</w:t>
      </w:r>
    </w:p>
    <w:p>
      <w:pPr>
        <w:ind w:firstLine="410" w:firstLineChars="171"/>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（3）评标办法；</w:t>
      </w:r>
    </w:p>
    <w:p>
      <w:pPr>
        <w:ind w:firstLine="410" w:firstLineChars="171"/>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（4）合同条款及格式；</w:t>
      </w:r>
    </w:p>
    <w:p>
      <w:pPr>
        <w:ind w:firstLine="410" w:firstLineChars="171"/>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（5）招标内容和技术要求； </w:t>
      </w:r>
    </w:p>
    <w:p>
      <w:pPr>
        <w:ind w:firstLine="410" w:firstLineChars="171"/>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（6）投标文件格式；</w:t>
      </w:r>
    </w:p>
    <w:p>
      <w:pPr>
        <w:ind w:firstLine="410" w:firstLineChars="171"/>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（7）投标人须知前附表规定的其他材料。</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根据本章第1.10款、第2.2款对招标文件所作的澄清、修改，构成招标文件的组成部分。</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招标文件、招标文件的澄清或修改等在同一内容的表述上不一致时，以最后发出的书面文件为准。</w:t>
      </w:r>
    </w:p>
    <w:p>
      <w:pPr>
        <w:pStyle w:val="45"/>
        <w:spacing w:line="440" w:lineRule="exact"/>
        <w:rPr>
          <w:rFonts w:asciiTheme="minorEastAsia" w:hAnsiTheme="minorEastAsia" w:eastAsiaTheme="minorEastAsia" w:cstheme="minorEastAsia"/>
          <w:b/>
          <w:color w:val="auto"/>
          <w:szCs w:val="24"/>
          <w:highlight w:val="none"/>
        </w:rPr>
      </w:pPr>
      <w:bookmarkStart w:id="114" w:name="_Toc152042320"/>
      <w:bookmarkStart w:id="115" w:name="_Toc319407846"/>
      <w:bookmarkStart w:id="116" w:name="_Toc245036612"/>
      <w:bookmarkStart w:id="117" w:name="_Toc14430"/>
      <w:bookmarkStart w:id="118" w:name="_Toc322615407"/>
      <w:bookmarkStart w:id="119" w:name="_Toc144974512"/>
      <w:bookmarkStart w:id="120" w:name="_Toc392345922"/>
      <w:bookmarkStart w:id="121" w:name="_Toc323711759"/>
      <w:bookmarkStart w:id="122" w:name="_Toc152045544"/>
      <w:bookmarkStart w:id="123" w:name="_Toc319408081"/>
      <w:r>
        <w:rPr>
          <w:rFonts w:hint="eastAsia" w:asciiTheme="minorEastAsia" w:hAnsiTheme="minorEastAsia" w:eastAsiaTheme="minorEastAsia" w:cstheme="minorEastAsia"/>
          <w:b/>
          <w:color w:val="auto"/>
          <w:szCs w:val="24"/>
          <w:highlight w:val="none"/>
        </w:rPr>
        <w:t>2.2 招标文件的澄清</w:t>
      </w:r>
      <w:bookmarkEnd w:id="114"/>
      <w:bookmarkEnd w:id="115"/>
      <w:bookmarkEnd w:id="116"/>
      <w:bookmarkEnd w:id="117"/>
      <w:bookmarkEnd w:id="118"/>
      <w:bookmarkEnd w:id="119"/>
      <w:bookmarkEnd w:id="120"/>
      <w:bookmarkEnd w:id="121"/>
      <w:bookmarkEnd w:id="122"/>
      <w:bookmarkEnd w:id="123"/>
      <w:r>
        <w:rPr>
          <w:rFonts w:hint="eastAsia" w:asciiTheme="minorEastAsia" w:hAnsiTheme="minorEastAsia" w:eastAsiaTheme="minorEastAsia" w:cstheme="minorEastAsia"/>
          <w:b/>
          <w:color w:val="auto"/>
          <w:szCs w:val="24"/>
          <w:highlight w:val="none"/>
        </w:rPr>
        <w:t>和修改</w:t>
      </w:r>
    </w:p>
    <w:p>
      <w:pPr>
        <w:spacing w:line="360" w:lineRule="exact"/>
        <w:ind w:firstLine="480" w:firstLineChars="200"/>
        <w:rPr>
          <w:rFonts w:ascii="宋体" w:hAnsi="宋体"/>
          <w:color w:val="auto"/>
          <w:sz w:val="24"/>
          <w:szCs w:val="24"/>
          <w:highlight w:val="none"/>
        </w:rPr>
      </w:pPr>
      <w:bookmarkStart w:id="124" w:name="_Toc3662"/>
      <w:bookmarkStart w:id="125" w:name="_Toc392345924"/>
      <w:r>
        <w:rPr>
          <w:rFonts w:hint="eastAsia" w:ascii="宋体" w:hAnsi="宋体"/>
          <w:color w:val="auto"/>
          <w:sz w:val="24"/>
          <w:szCs w:val="24"/>
          <w:highlight w:val="none"/>
        </w:rPr>
        <w:t>2.2.1 投标人应仔细阅读和检查招标文件的全部内容。如发现缺页或附件不全，应及时向招标人提出，以便补齐。如有疑问，应在投标人须知前附表规定的时间、形式提交，要求招标人对招标文件予以澄清。</w:t>
      </w:r>
    </w:p>
    <w:p>
      <w:pPr>
        <w:spacing w:line="360" w:lineRule="exact"/>
        <w:ind w:firstLine="480" w:firstLineChars="200"/>
        <w:rPr>
          <w:rFonts w:ascii="宋体" w:hAnsi="宋体"/>
          <w:color w:val="auto"/>
          <w:sz w:val="24"/>
          <w:szCs w:val="24"/>
          <w:highlight w:val="none"/>
        </w:rPr>
      </w:pPr>
      <w:r>
        <w:rPr>
          <w:rFonts w:hint="eastAsia" w:ascii="宋体" w:hAnsi="宋体"/>
          <w:color w:val="auto"/>
          <w:sz w:val="24"/>
          <w:szCs w:val="24"/>
          <w:highlight w:val="none"/>
        </w:rPr>
        <w:t>2.2.2 招标人可以对已发出的招标文件进行必要的澄清或修改。澄清或修改的内容可能影响投标文件编制的，招标人应当在投标截止时间至少15日前通过绍兴公共资源交易服务平台进行发布，但不指明澄清问题的来源；不足15日的，招标人应当顺延提交投标文件的截止时间。</w:t>
      </w:r>
    </w:p>
    <w:p>
      <w:pPr>
        <w:spacing w:line="360" w:lineRule="exact"/>
        <w:ind w:firstLine="480" w:firstLineChars="200"/>
        <w:rPr>
          <w:rFonts w:ascii="宋体" w:hAnsi="宋体"/>
          <w:color w:val="auto"/>
          <w:sz w:val="24"/>
          <w:szCs w:val="24"/>
          <w:highlight w:val="none"/>
        </w:rPr>
      </w:pPr>
      <w:r>
        <w:rPr>
          <w:rFonts w:hint="eastAsia" w:ascii="宋体" w:hAnsi="宋体"/>
          <w:color w:val="auto"/>
          <w:sz w:val="24"/>
          <w:szCs w:val="24"/>
          <w:highlight w:val="none"/>
        </w:rPr>
        <w:t>2.2.3 投标人确认收到招标文件澄清和修改内容的时间：见投标人须知前附表。</w:t>
      </w:r>
    </w:p>
    <w:p>
      <w:pPr>
        <w:pStyle w:val="44"/>
        <w:spacing w:line="440" w:lineRule="exac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 投标文件</w:t>
      </w:r>
      <w:bookmarkEnd w:id="96"/>
      <w:bookmarkEnd w:id="97"/>
      <w:bookmarkEnd w:id="98"/>
      <w:bookmarkEnd w:id="99"/>
      <w:bookmarkEnd w:id="124"/>
      <w:bookmarkEnd w:id="125"/>
    </w:p>
    <w:p>
      <w:pPr>
        <w:pStyle w:val="45"/>
        <w:spacing w:line="440" w:lineRule="exact"/>
        <w:rPr>
          <w:rFonts w:asciiTheme="minorEastAsia" w:hAnsiTheme="minorEastAsia" w:eastAsiaTheme="minorEastAsia" w:cstheme="minorEastAsia"/>
          <w:b/>
          <w:color w:val="auto"/>
          <w:szCs w:val="24"/>
          <w:highlight w:val="none"/>
        </w:rPr>
      </w:pPr>
      <w:bookmarkStart w:id="126" w:name="_Toc392345925"/>
      <w:bookmarkStart w:id="127" w:name="_Toc152042323"/>
      <w:bookmarkStart w:id="128" w:name="_Toc144974515"/>
      <w:bookmarkStart w:id="129" w:name="_Toc22707"/>
      <w:bookmarkStart w:id="130" w:name="_Toc152045547"/>
      <w:bookmarkStart w:id="131" w:name="_Toc229646729"/>
      <w:r>
        <w:rPr>
          <w:rFonts w:hint="eastAsia" w:asciiTheme="minorEastAsia" w:hAnsiTheme="minorEastAsia" w:eastAsiaTheme="minorEastAsia" w:cstheme="minorEastAsia"/>
          <w:b/>
          <w:color w:val="auto"/>
          <w:szCs w:val="24"/>
          <w:highlight w:val="none"/>
        </w:rPr>
        <w:t>3.1 投标文件的组成</w:t>
      </w:r>
      <w:bookmarkEnd w:id="126"/>
      <w:bookmarkEnd w:id="127"/>
      <w:bookmarkEnd w:id="128"/>
      <w:bookmarkEnd w:id="129"/>
      <w:bookmarkEnd w:id="130"/>
      <w:bookmarkEnd w:id="131"/>
    </w:p>
    <w:p>
      <w:pPr>
        <w:pStyle w:val="11"/>
        <w:ind w:firstLine="410" w:firstLineChars="171"/>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3.1.1商务标部分</w:t>
      </w:r>
    </w:p>
    <w:p>
      <w:pPr>
        <w:pStyle w:val="11"/>
        <w:ind w:firstLine="410" w:firstLineChars="171"/>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（1）投标函(格式一)</w:t>
      </w:r>
    </w:p>
    <w:p>
      <w:pPr>
        <w:pStyle w:val="11"/>
        <w:ind w:firstLine="410" w:firstLineChars="171"/>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（2）法定代表人授权书及法定代表人身份证明(格式二、格式三)</w:t>
      </w:r>
    </w:p>
    <w:p>
      <w:pPr>
        <w:pStyle w:val="11"/>
        <w:ind w:firstLine="410" w:firstLineChars="171"/>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（3）投标报价表（格式四）</w:t>
      </w:r>
    </w:p>
    <w:p>
      <w:pPr>
        <w:pStyle w:val="11"/>
        <w:ind w:firstLine="410" w:firstLineChars="171"/>
        <w:rPr>
          <w:rFonts w:asciiTheme="minorEastAsia" w:hAnsiTheme="minorEastAsia" w:eastAsiaTheme="minorEastAsia" w:cstheme="minorEastAsia"/>
          <w:strike/>
          <w:color w:val="auto"/>
          <w:sz w:val="24"/>
          <w:szCs w:val="24"/>
          <w:highlight w:val="none"/>
        </w:rPr>
      </w:pPr>
      <w:r>
        <w:rPr>
          <w:rFonts w:hint="eastAsia" w:asciiTheme="minorEastAsia" w:hAnsiTheme="minorEastAsia" w:eastAsiaTheme="minorEastAsia" w:cstheme="minorEastAsia"/>
          <w:strike/>
          <w:color w:val="auto"/>
          <w:sz w:val="24"/>
          <w:szCs w:val="24"/>
          <w:highlight w:val="none"/>
        </w:rPr>
        <w:t>（4）商务条款偏离表（格式自拟）</w:t>
      </w:r>
    </w:p>
    <w:p>
      <w:pPr>
        <w:pStyle w:val="11"/>
        <w:ind w:firstLine="410" w:firstLineChars="171"/>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☑（5）随机备品备件一览表（格式自拟）</w:t>
      </w:r>
    </w:p>
    <w:p>
      <w:pPr>
        <w:pStyle w:val="11"/>
        <w:ind w:firstLine="410" w:firstLineChars="171"/>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☑（6）供招标人选购的备品备件一览表（格式自拟）</w:t>
      </w:r>
    </w:p>
    <w:p>
      <w:pPr>
        <w:pStyle w:val="11"/>
        <w:ind w:firstLine="410" w:firstLineChars="171"/>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w:t>
      </w:r>
      <w:r>
        <w:rPr>
          <w:rStyle w:val="46"/>
          <w:rFonts w:hint="eastAsia" w:asciiTheme="minorEastAsia" w:hAnsiTheme="minorEastAsia" w:eastAsiaTheme="minorEastAsia" w:cstheme="minorEastAsia"/>
          <w:color w:val="auto"/>
          <w:sz w:val="24"/>
          <w:szCs w:val="24"/>
          <w:highlight w:val="none"/>
        </w:rPr>
        <w:t>（7）</w:t>
      </w:r>
      <w:r>
        <w:rPr>
          <w:rFonts w:hint="eastAsia" w:asciiTheme="minorEastAsia" w:hAnsiTheme="minorEastAsia" w:eastAsiaTheme="minorEastAsia" w:cstheme="minorEastAsia"/>
          <w:color w:val="auto"/>
          <w:sz w:val="24"/>
          <w:szCs w:val="24"/>
          <w:highlight w:val="none"/>
        </w:rPr>
        <w:t>专用检测设备及专用维修工具一览表（格式自拟）</w:t>
      </w:r>
    </w:p>
    <w:p>
      <w:pPr>
        <w:pStyle w:val="11"/>
        <w:ind w:firstLine="410" w:firstLineChars="171"/>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i/>
          <w:color w:val="auto"/>
          <w:sz w:val="24"/>
          <w:szCs w:val="24"/>
          <w:highlight w:val="none"/>
          <w:u w:val="single"/>
        </w:rPr>
        <w:t>（</w:t>
      </w:r>
      <w:r>
        <w:rPr>
          <w:rFonts w:hint="eastAsia" w:asciiTheme="minorEastAsia" w:hAnsiTheme="minorEastAsia" w:eastAsiaTheme="minorEastAsia" w:cstheme="minorEastAsia"/>
          <w:i/>
          <w:color w:val="auto"/>
          <w:sz w:val="24"/>
          <w:szCs w:val="24"/>
          <w:highlight w:val="none"/>
        </w:rPr>
        <w:t>招标人需要增加的其他商务内容）</w:t>
      </w:r>
      <w:r>
        <w:rPr>
          <w:rFonts w:hint="eastAsia" w:asciiTheme="minorEastAsia" w:hAnsiTheme="minorEastAsia" w:eastAsiaTheme="minorEastAsia" w:cstheme="minorEastAsia"/>
          <w:color w:val="auto"/>
          <w:sz w:val="24"/>
          <w:szCs w:val="24"/>
          <w:highlight w:val="none"/>
        </w:rPr>
        <w:t>。</w:t>
      </w:r>
    </w:p>
    <w:p>
      <w:pPr>
        <w:pStyle w:val="11"/>
        <w:ind w:firstLine="360" w:firstLineChars="15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3.1.2技术标部分</w:t>
      </w:r>
    </w:p>
    <w:p>
      <w:pPr>
        <w:pStyle w:val="11"/>
        <w:ind w:firstLine="410" w:firstLineChars="171"/>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☑（1）货物说明一览表（格式自拟）</w:t>
      </w:r>
    </w:p>
    <w:p>
      <w:pPr>
        <w:pStyle w:val="11"/>
        <w:ind w:firstLine="410" w:firstLineChars="171"/>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☑（2）技术响应表（格式自拟）</w:t>
      </w:r>
    </w:p>
    <w:p>
      <w:pPr>
        <w:pStyle w:val="11"/>
        <w:ind w:firstLine="410" w:firstLineChars="171"/>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☑（3）主要配置说明一览表（格式自拟）</w:t>
      </w:r>
    </w:p>
    <w:p>
      <w:pPr>
        <w:ind w:firstLine="410" w:firstLineChars="171"/>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☑（4）技术规格偏离表（格式自拟）</w:t>
      </w:r>
    </w:p>
    <w:p>
      <w:pPr>
        <w:pStyle w:val="11"/>
        <w:ind w:firstLine="410" w:firstLineChars="171"/>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☑（5）投标方案图纸、产品详细技术规格书</w:t>
      </w:r>
      <w:r>
        <w:rPr>
          <w:rFonts w:hint="eastAsia" w:asciiTheme="minorEastAsia" w:hAnsiTheme="minorEastAsia" w:eastAsiaTheme="minorEastAsia" w:cstheme="minorEastAsia"/>
          <w:strike/>
          <w:color w:val="auto"/>
          <w:sz w:val="24"/>
          <w:szCs w:val="24"/>
          <w:highlight w:val="none"/>
        </w:rPr>
        <w:t>及所投产品的样本</w:t>
      </w:r>
      <w:r>
        <w:rPr>
          <w:rFonts w:hint="eastAsia" w:asciiTheme="minorEastAsia" w:hAnsiTheme="minorEastAsia" w:eastAsiaTheme="minorEastAsia" w:cstheme="minorEastAsia"/>
          <w:color w:val="auto"/>
          <w:sz w:val="24"/>
          <w:szCs w:val="24"/>
          <w:highlight w:val="none"/>
        </w:rPr>
        <w:t>及本招标文件中规定的其它必须提供的文件及资料。</w:t>
      </w:r>
    </w:p>
    <w:p>
      <w:pPr>
        <w:pStyle w:val="11"/>
        <w:ind w:firstLine="410" w:firstLineChars="171"/>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☑（6）产品的主要技术、结构、性能、特点和质量水平的详细描述</w:t>
      </w:r>
    </w:p>
    <w:p>
      <w:pPr>
        <w:pStyle w:val="11"/>
        <w:ind w:firstLine="410" w:firstLineChars="171"/>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☑（7）产品制造、安装、验收标准</w:t>
      </w:r>
    </w:p>
    <w:p>
      <w:pPr>
        <w:pStyle w:val="11"/>
        <w:ind w:firstLine="410" w:firstLineChars="171"/>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☑（8）主要工艺装备和主要检测设施的拥有情况和现状</w:t>
      </w:r>
    </w:p>
    <w:p>
      <w:pPr>
        <w:pStyle w:val="11"/>
        <w:ind w:firstLine="410" w:firstLineChars="171"/>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☑（9）质量手册或关于质量管理、质量体系、质量控制、质量保证的详细介绍</w:t>
      </w:r>
    </w:p>
    <w:p>
      <w:pPr>
        <w:pStyle w:val="11"/>
        <w:ind w:firstLine="410" w:firstLineChars="171"/>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☑（10) 产品的技术服务和售后服务的内容和措施</w:t>
      </w:r>
    </w:p>
    <w:p>
      <w:pPr>
        <w:pStyle w:val="11"/>
        <w:ind w:firstLine="48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i/>
          <w:color w:val="auto"/>
          <w:sz w:val="24"/>
          <w:szCs w:val="24"/>
          <w:highlight w:val="none"/>
        </w:rPr>
        <w:t>（招标人需要增加的其他技术内容）</w:t>
      </w:r>
      <w:r>
        <w:rPr>
          <w:rFonts w:hint="eastAsia" w:asciiTheme="minorEastAsia" w:hAnsiTheme="minorEastAsia" w:eastAsiaTheme="minorEastAsia" w:cstheme="minorEastAsia"/>
          <w:color w:val="auto"/>
          <w:sz w:val="24"/>
          <w:szCs w:val="24"/>
          <w:highlight w:val="none"/>
        </w:rPr>
        <w:t>。</w:t>
      </w:r>
    </w:p>
    <w:p>
      <w:pPr>
        <w:widowControl/>
        <w:ind w:firstLine="482" w:firstLineChars="200"/>
        <w:jc w:val="left"/>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注：未尽事宜请各投标单位按技术部分评分标准制作</w:t>
      </w:r>
      <w:r>
        <w:rPr>
          <w:rFonts w:asciiTheme="minorEastAsia" w:hAnsiTheme="minorEastAsia" w:eastAsiaTheme="minorEastAsia" w:cstheme="minorEastAsia"/>
          <w:b/>
          <w:color w:val="auto"/>
          <w:sz w:val="24"/>
          <w:szCs w:val="24"/>
          <w:highlight w:val="none"/>
        </w:rPr>
        <w:t>(重要)！</w:t>
      </w:r>
    </w:p>
    <w:p>
      <w:pPr>
        <w:pStyle w:val="11"/>
        <w:ind w:firstLine="48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3.1.3资格审查资料</w:t>
      </w:r>
    </w:p>
    <w:p>
      <w:pPr>
        <w:widowControl/>
        <w:ind w:firstLine="480" w:firstLineChars="200"/>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bidi="ar"/>
        </w:rPr>
        <w:t>详见投标人须知前附表第</w:t>
      </w:r>
      <w:r>
        <w:rPr>
          <w:rFonts w:asciiTheme="minorEastAsia" w:hAnsiTheme="minorEastAsia" w:eastAsiaTheme="minorEastAsia" w:cstheme="minorEastAsia"/>
          <w:color w:val="auto"/>
          <w:sz w:val="24"/>
          <w:szCs w:val="24"/>
          <w:highlight w:val="none"/>
          <w:lang w:bidi="ar"/>
        </w:rPr>
        <w:t xml:space="preserve"> 3.5 </w:t>
      </w:r>
      <w:r>
        <w:rPr>
          <w:rFonts w:hint="eastAsia" w:asciiTheme="minorEastAsia" w:hAnsiTheme="minorEastAsia" w:eastAsiaTheme="minorEastAsia" w:cstheme="minorEastAsia"/>
          <w:color w:val="auto"/>
          <w:sz w:val="24"/>
          <w:szCs w:val="24"/>
          <w:highlight w:val="none"/>
          <w:lang w:bidi="ar"/>
        </w:rPr>
        <w:t>条款。</w:t>
      </w:r>
    </w:p>
    <w:p>
      <w:pPr>
        <w:pStyle w:val="45"/>
        <w:spacing w:line="440" w:lineRule="exact"/>
        <w:rPr>
          <w:rFonts w:asciiTheme="minorEastAsia" w:hAnsiTheme="minorEastAsia" w:eastAsiaTheme="minorEastAsia" w:cstheme="minorEastAsia"/>
          <w:b/>
          <w:color w:val="auto"/>
          <w:szCs w:val="24"/>
          <w:highlight w:val="none"/>
        </w:rPr>
      </w:pPr>
      <w:bookmarkStart w:id="132" w:name="_Toc392345926"/>
      <w:bookmarkStart w:id="133" w:name="_Toc5081"/>
      <w:r>
        <w:rPr>
          <w:rFonts w:hint="eastAsia" w:asciiTheme="minorEastAsia" w:hAnsiTheme="minorEastAsia" w:eastAsiaTheme="minorEastAsia" w:cstheme="minorEastAsia"/>
          <w:b/>
          <w:color w:val="auto"/>
          <w:szCs w:val="24"/>
          <w:highlight w:val="none"/>
        </w:rPr>
        <w:t>3.2 投标报价</w:t>
      </w:r>
      <w:bookmarkEnd w:id="100"/>
      <w:bookmarkEnd w:id="101"/>
      <w:bookmarkEnd w:id="102"/>
      <w:bookmarkEnd w:id="103"/>
      <w:bookmarkEnd w:id="132"/>
      <w:bookmarkEnd w:id="133"/>
    </w:p>
    <w:p>
      <w:pPr>
        <w:ind w:firstLine="480" w:firstLineChars="200"/>
        <w:rPr>
          <w:rFonts w:asciiTheme="minorEastAsia" w:hAnsiTheme="minorEastAsia" w:eastAsiaTheme="minorEastAsia" w:cstheme="minorEastAsia"/>
          <w:color w:val="auto"/>
          <w:sz w:val="24"/>
          <w:szCs w:val="24"/>
          <w:highlight w:val="none"/>
        </w:rPr>
      </w:pPr>
      <w:bookmarkStart w:id="134" w:name="_Toc152042325"/>
      <w:bookmarkStart w:id="135" w:name="_Toc144974517"/>
      <w:bookmarkStart w:id="136" w:name="_Toc152045549"/>
      <w:bookmarkStart w:id="137" w:name="_Toc229646731"/>
      <w:r>
        <w:rPr>
          <w:rFonts w:hint="eastAsia" w:asciiTheme="minorEastAsia" w:hAnsiTheme="minorEastAsia" w:eastAsiaTheme="minorEastAsia" w:cstheme="minorEastAsia"/>
          <w:color w:val="auto"/>
          <w:sz w:val="24"/>
          <w:szCs w:val="24"/>
          <w:highlight w:val="none"/>
        </w:rPr>
        <w:t>3.2.1 投标人应按本招标文件中“投标文件格式”的要求填写相应表格。</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3.2.2 投标人在投标截止时间前修改投标函中的投标总报价，应同时修改本招标文件中“投标文件格式”中的相应报价。此修改须符合本章第4.3款的有关要求。</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3.2.3招标人设有最高投标限价的，投标人的投标报价不得超过最高投标限价，最高投标限价详见投标人须知前附表。</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3.2.4投标报价的其他要求详见投标人须知前附表。</w:t>
      </w:r>
    </w:p>
    <w:p>
      <w:pPr>
        <w:pStyle w:val="45"/>
        <w:spacing w:line="440" w:lineRule="exact"/>
        <w:rPr>
          <w:rFonts w:asciiTheme="minorEastAsia" w:hAnsiTheme="minorEastAsia" w:eastAsiaTheme="minorEastAsia" w:cstheme="minorEastAsia"/>
          <w:b/>
          <w:color w:val="auto"/>
          <w:szCs w:val="24"/>
          <w:highlight w:val="none"/>
        </w:rPr>
      </w:pPr>
      <w:bookmarkStart w:id="138" w:name="_Toc392345927"/>
      <w:bookmarkStart w:id="139" w:name="_Toc22162"/>
      <w:r>
        <w:rPr>
          <w:rFonts w:hint="eastAsia" w:asciiTheme="minorEastAsia" w:hAnsiTheme="minorEastAsia" w:eastAsiaTheme="minorEastAsia" w:cstheme="minorEastAsia"/>
          <w:b/>
          <w:color w:val="auto"/>
          <w:szCs w:val="24"/>
          <w:highlight w:val="none"/>
        </w:rPr>
        <w:t>3.3 投标有效期</w:t>
      </w:r>
      <w:bookmarkEnd w:id="134"/>
      <w:bookmarkEnd w:id="135"/>
      <w:bookmarkEnd w:id="136"/>
      <w:bookmarkEnd w:id="137"/>
      <w:bookmarkEnd w:id="138"/>
      <w:bookmarkEnd w:id="139"/>
    </w:p>
    <w:p>
      <w:pPr>
        <w:ind w:firstLine="480" w:firstLineChars="200"/>
        <w:rPr>
          <w:rFonts w:asciiTheme="minorEastAsia" w:hAnsiTheme="minorEastAsia" w:eastAsiaTheme="minorEastAsia" w:cstheme="minorEastAsia"/>
          <w:color w:val="auto"/>
          <w:sz w:val="24"/>
          <w:szCs w:val="24"/>
          <w:highlight w:val="none"/>
        </w:rPr>
      </w:pPr>
      <w:bookmarkStart w:id="140" w:name="_Toc144974518"/>
      <w:bookmarkStart w:id="141" w:name="_Toc152042326"/>
      <w:bookmarkStart w:id="142" w:name="_Toc152045550"/>
      <w:bookmarkStart w:id="143" w:name="_Toc229646732"/>
      <w:r>
        <w:rPr>
          <w:rFonts w:hint="eastAsia" w:asciiTheme="minorEastAsia" w:hAnsiTheme="minorEastAsia" w:eastAsiaTheme="minorEastAsia" w:cstheme="minorEastAsia"/>
          <w:color w:val="auto"/>
          <w:sz w:val="24"/>
          <w:szCs w:val="24"/>
          <w:highlight w:val="none"/>
        </w:rPr>
        <w:t>3.3.1 在投标人须知前附表规定的投标有效期内，投标人不得撤销其投标文件。</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3.3.2出现特殊情况需要延长投标有效期的，招标人以书面形式通知所有投标人延长投标有效期。投标人同意延长的，应相应延长其投标保证金的有效期，但不得要求或被允许修改或撤销其投标文件；投标人拒绝延长的，其投标失效，但投标人有权收回其投标保证金。 </w:t>
      </w:r>
    </w:p>
    <w:p>
      <w:pPr>
        <w:pStyle w:val="45"/>
        <w:spacing w:line="440" w:lineRule="exact"/>
        <w:rPr>
          <w:rFonts w:asciiTheme="minorEastAsia" w:hAnsiTheme="minorEastAsia" w:eastAsiaTheme="minorEastAsia" w:cstheme="minorEastAsia"/>
          <w:b/>
          <w:color w:val="auto"/>
          <w:szCs w:val="24"/>
          <w:highlight w:val="none"/>
        </w:rPr>
      </w:pPr>
      <w:bookmarkStart w:id="144" w:name="_Toc10327"/>
      <w:bookmarkStart w:id="145" w:name="_Toc392345928"/>
      <w:r>
        <w:rPr>
          <w:rFonts w:hint="eastAsia" w:asciiTheme="minorEastAsia" w:hAnsiTheme="minorEastAsia" w:eastAsiaTheme="minorEastAsia" w:cstheme="minorEastAsia"/>
          <w:b/>
          <w:color w:val="auto"/>
          <w:szCs w:val="24"/>
          <w:highlight w:val="none"/>
        </w:rPr>
        <w:t>3.4 投标保证金</w:t>
      </w:r>
      <w:bookmarkEnd w:id="140"/>
      <w:bookmarkEnd w:id="141"/>
      <w:bookmarkEnd w:id="142"/>
      <w:bookmarkEnd w:id="143"/>
      <w:bookmarkEnd w:id="144"/>
      <w:bookmarkEnd w:id="145"/>
    </w:p>
    <w:p>
      <w:pPr>
        <w:ind w:firstLine="480" w:firstLineChars="200"/>
        <w:rPr>
          <w:rFonts w:asciiTheme="minorEastAsia" w:hAnsiTheme="minorEastAsia" w:eastAsiaTheme="minorEastAsia" w:cstheme="minorEastAsia"/>
          <w:color w:val="auto"/>
          <w:sz w:val="24"/>
          <w:szCs w:val="24"/>
          <w:highlight w:val="none"/>
        </w:rPr>
      </w:pPr>
      <w:bookmarkStart w:id="146" w:name="_Toc152045552"/>
      <w:bookmarkStart w:id="147" w:name="_Toc144974520"/>
      <w:bookmarkStart w:id="148" w:name="_Toc152042328"/>
      <w:bookmarkStart w:id="149" w:name="_Toc229646733"/>
      <w:r>
        <w:rPr>
          <w:rFonts w:hint="eastAsia" w:asciiTheme="minorEastAsia" w:hAnsiTheme="minorEastAsia" w:eastAsiaTheme="minorEastAsia" w:cstheme="minorEastAsia"/>
          <w:color w:val="auto"/>
          <w:sz w:val="24"/>
          <w:szCs w:val="24"/>
          <w:highlight w:val="none"/>
        </w:rPr>
        <w:t>3.4.1 投标人应按投标人须知前附表规定的金额、时间及形式递交投标保证金，并作为其投标文件的组成部分。</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3.4.2投标人应按本章第3.4.1 项要求提交投标保证金。</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3.4.3</w:t>
      </w:r>
      <w:r>
        <w:rPr>
          <w:rFonts w:hint="eastAsia" w:asciiTheme="minorEastAsia" w:hAnsiTheme="minorEastAsia" w:eastAsiaTheme="minorEastAsia" w:cstheme="minorEastAsia"/>
          <w:color w:val="auto"/>
          <w:sz w:val="24"/>
          <w:szCs w:val="24"/>
          <w:highlight w:val="none"/>
          <w:lang w:bidi="ar"/>
        </w:rPr>
        <w:t>投标保证金的退还：按现行规定退还</w:t>
      </w:r>
      <w:r>
        <w:rPr>
          <w:rFonts w:hint="eastAsia" w:asciiTheme="minorEastAsia" w:hAnsiTheme="minorEastAsia" w:eastAsiaTheme="minorEastAsia" w:cstheme="minorEastAsia"/>
          <w:color w:val="auto"/>
          <w:sz w:val="24"/>
          <w:szCs w:val="24"/>
          <w:highlight w:val="none"/>
        </w:rPr>
        <w:t>（中标人的投标保证金在中标人缴纳履约保证金且签订中标合同后按规定程序无息退还）。</w:t>
      </w:r>
    </w:p>
    <w:p>
      <w:pPr>
        <w:widowControl/>
        <w:ind w:firstLine="480" w:firstLineChars="200"/>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3.4.4</w:t>
      </w:r>
      <w:r>
        <w:rPr>
          <w:rFonts w:hint="eastAsia" w:asciiTheme="minorEastAsia" w:hAnsiTheme="minorEastAsia" w:eastAsiaTheme="minorEastAsia" w:cstheme="minorEastAsia"/>
          <w:color w:val="auto"/>
          <w:sz w:val="24"/>
          <w:szCs w:val="24"/>
          <w:highlight w:val="none"/>
          <w:lang w:bidi="ar"/>
        </w:rPr>
        <w:t>有下列情形之一的，投标保证金将不予退还：</w:t>
      </w:r>
      <w:r>
        <w:rPr>
          <w:rFonts w:asciiTheme="minorEastAsia" w:hAnsiTheme="minorEastAsia" w:eastAsiaTheme="minorEastAsia" w:cstheme="minorEastAsia"/>
          <w:color w:val="auto"/>
          <w:sz w:val="24"/>
          <w:szCs w:val="24"/>
          <w:highlight w:val="none"/>
          <w:lang w:bidi="ar"/>
        </w:rPr>
        <w:t xml:space="preserve"> </w:t>
      </w:r>
    </w:p>
    <w:p>
      <w:pPr>
        <w:widowControl/>
        <w:ind w:firstLine="480" w:firstLineChars="200"/>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bidi="ar"/>
        </w:rPr>
        <w:t>（</w:t>
      </w:r>
      <w:r>
        <w:rPr>
          <w:rFonts w:asciiTheme="minorEastAsia" w:hAnsiTheme="minorEastAsia" w:eastAsiaTheme="minorEastAsia" w:cstheme="minorEastAsia"/>
          <w:color w:val="auto"/>
          <w:sz w:val="24"/>
          <w:szCs w:val="24"/>
          <w:highlight w:val="none"/>
          <w:lang w:bidi="ar"/>
        </w:rPr>
        <w:t>1</w:t>
      </w:r>
      <w:r>
        <w:rPr>
          <w:rFonts w:hint="eastAsia" w:asciiTheme="minorEastAsia" w:hAnsiTheme="minorEastAsia" w:eastAsiaTheme="minorEastAsia" w:cstheme="minorEastAsia"/>
          <w:color w:val="auto"/>
          <w:sz w:val="24"/>
          <w:szCs w:val="24"/>
          <w:highlight w:val="none"/>
          <w:lang w:bidi="ar"/>
        </w:rPr>
        <w:t>）投标人在规定的投标有效期内撤销或修改其投标文件；</w:t>
      </w:r>
      <w:r>
        <w:rPr>
          <w:rFonts w:asciiTheme="minorEastAsia" w:hAnsiTheme="minorEastAsia" w:eastAsiaTheme="minorEastAsia" w:cstheme="minorEastAsia"/>
          <w:color w:val="auto"/>
          <w:sz w:val="24"/>
          <w:szCs w:val="24"/>
          <w:highlight w:val="none"/>
          <w:lang w:bidi="ar"/>
        </w:rPr>
        <w:t xml:space="preserve"> </w:t>
      </w:r>
    </w:p>
    <w:p>
      <w:pPr>
        <w:widowControl/>
        <w:ind w:left="210" w:leftChars="100" w:firstLine="240" w:firstLineChars="100"/>
        <w:jc w:val="left"/>
        <w:rPr>
          <w:rFonts w:asciiTheme="minorEastAsia" w:hAnsiTheme="minorEastAsia" w:eastAsiaTheme="minorEastAsia" w:cstheme="minorEastAsia"/>
          <w:color w:val="auto"/>
          <w:sz w:val="24"/>
          <w:szCs w:val="24"/>
          <w:highlight w:val="none"/>
          <w:lang w:bidi="ar"/>
        </w:rPr>
      </w:pPr>
      <w:r>
        <w:rPr>
          <w:rFonts w:hint="eastAsia" w:asciiTheme="minorEastAsia" w:hAnsiTheme="minorEastAsia" w:eastAsiaTheme="minorEastAsia" w:cstheme="minorEastAsia"/>
          <w:color w:val="auto"/>
          <w:sz w:val="24"/>
          <w:szCs w:val="24"/>
          <w:highlight w:val="none"/>
          <w:lang w:bidi="ar"/>
        </w:rPr>
        <w:t>（</w:t>
      </w:r>
      <w:r>
        <w:rPr>
          <w:rFonts w:asciiTheme="minorEastAsia" w:hAnsiTheme="minorEastAsia" w:eastAsiaTheme="minorEastAsia" w:cstheme="minorEastAsia"/>
          <w:color w:val="auto"/>
          <w:sz w:val="24"/>
          <w:szCs w:val="24"/>
          <w:highlight w:val="none"/>
          <w:lang w:bidi="ar"/>
        </w:rPr>
        <w:t>2</w:t>
      </w:r>
      <w:r>
        <w:rPr>
          <w:rFonts w:hint="eastAsia" w:asciiTheme="minorEastAsia" w:hAnsiTheme="minorEastAsia" w:eastAsiaTheme="minorEastAsia" w:cstheme="minorEastAsia"/>
          <w:color w:val="auto"/>
          <w:sz w:val="24"/>
          <w:szCs w:val="24"/>
          <w:highlight w:val="none"/>
          <w:lang w:bidi="ar"/>
        </w:rPr>
        <w:t>）中标人在收到中标通知书后，无正当理由拒签合同协议书或未按招标文件规定提交履约担保；</w:t>
      </w:r>
    </w:p>
    <w:p>
      <w:pPr>
        <w:widowControl/>
        <w:ind w:left="210" w:leftChars="100" w:firstLine="240" w:firstLineChars="100"/>
        <w:jc w:val="left"/>
        <w:rPr>
          <w:rFonts w:asciiTheme="minorEastAsia" w:hAnsiTheme="minorEastAsia" w:eastAsiaTheme="minorEastAsia" w:cstheme="minorEastAsia"/>
          <w:color w:val="auto"/>
          <w:sz w:val="24"/>
          <w:szCs w:val="24"/>
          <w:highlight w:val="none"/>
          <w:lang w:bidi="ar"/>
        </w:rPr>
      </w:pPr>
      <w:r>
        <w:rPr>
          <w:rFonts w:hint="eastAsia" w:asciiTheme="minorEastAsia" w:hAnsiTheme="minorEastAsia" w:eastAsiaTheme="minorEastAsia" w:cstheme="minorEastAsia"/>
          <w:color w:val="auto"/>
          <w:sz w:val="24"/>
          <w:szCs w:val="24"/>
          <w:highlight w:val="none"/>
          <w:lang w:bidi="ar"/>
        </w:rPr>
        <w:t>(3)存在违反《招标投标法》第三十二条、第三十三条规定的违法情形的；</w:t>
      </w:r>
    </w:p>
    <w:p>
      <w:pPr>
        <w:widowControl/>
        <w:ind w:left="210" w:leftChars="100" w:firstLine="240" w:firstLineChars="100"/>
        <w:jc w:val="left"/>
        <w:rPr>
          <w:rFonts w:asciiTheme="minorEastAsia" w:hAnsiTheme="minorEastAsia" w:eastAsiaTheme="minorEastAsia" w:cstheme="minorEastAsia"/>
          <w:color w:val="auto"/>
          <w:sz w:val="24"/>
          <w:szCs w:val="24"/>
          <w:highlight w:val="none"/>
          <w:lang w:bidi="ar"/>
        </w:rPr>
      </w:pPr>
      <w:r>
        <w:rPr>
          <w:rFonts w:hint="eastAsia" w:asciiTheme="minorEastAsia" w:hAnsiTheme="minorEastAsia" w:eastAsiaTheme="minorEastAsia" w:cstheme="minorEastAsia"/>
          <w:color w:val="auto"/>
          <w:sz w:val="24"/>
          <w:szCs w:val="24"/>
          <w:highlight w:val="none"/>
          <w:lang w:bidi="ar"/>
        </w:rPr>
        <w:t>(4)招标文件等材料约定的不予退还的其他情形；</w:t>
      </w:r>
    </w:p>
    <w:p>
      <w:pPr>
        <w:widowControl/>
        <w:ind w:left="210" w:leftChars="100" w:firstLine="240" w:firstLineChars="100"/>
        <w:jc w:val="left"/>
        <w:rPr>
          <w:rFonts w:asciiTheme="minorEastAsia" w:hAnsiTheme="minorEastAsia" w:eastAsiaTheme="minorEastAsia" w:cstheme="minorEastAsia"/>
          <w:color w:val="auto"/>
          <w:sz w:val="24"/>
          <w:szCs w:val="24"/>
          <w:highlight w:val="none"/>
          <w:lang w:bidi="ar"/>
        </w:rPr>
      </w:pPr>
      <w:r>
        <w:rPr>
          <w:rFonts w:hint="eastAsia" w:asciiTheme="minorEastAsia" w:hAnsiTheme="minorEastAsia" w:eastAsiaTheme="minorEastAsia" w:cstheme="minorEastAsia"/>
          <w:color w:val="auto"/>
          <w:sz w:val="24"/>
          <w:szCs w:val="24"/>
          <w:highlight w:val="none"/>
          <w:lang w:bidi="ar"/>
        </w:rPr>
        <w:t xml:space="preserve">（5）其他法律法规规定情形。 </w:t>
      </w:r>
    </w:p>
    <w:bookmarkEnd w:id="146"/>
    <w:bookmarkEnd w:id="147"/>
    <w:bookmarkEnd w:id="148"/>
    <w:bookmarkEnd w:id="149"/>
    <w:p>
      <w:pPr>
        <w:pStyle w:val="45"/>
        <w:spacing w:line="440" w:lineRule="exact"/>
        <w:rPr>
          <w:rFonts w:asciiTheme="minorEastAsia" w:hAnsiTheme="minorEastAsia" w:eastAsiaTheme="minorEastAsia" w:cstheme="minorEastAsia"/>
          <w:b/>
          <w:color w:val="auto"/>
          <w:szCs w:val="24"/>
          <w:highlight w:val="none"/>
        </w:rPr>
      </w:pPr>
      <w:bookmarkStart w:id="150" w:name="_Toc152045553"/>
      <w:bookmarkStart w:id="151" w:name="_Toc319408089"/>
      <w:bookmarkStart w:id="152" w:name="_Toc245036620"/>
      <w:bookmarkStart w:id="153" w:name="_Toc322615415"/>
      <w:bookmarkStart w:id="154" w:name="_Toc152042329"/>
      <w:bookmarkStart w:id="155" w:name="_Toc144974521"/>
      <w:bookmarkStart w:id="156" w:name="_Toc323711767"/>
      <w:bookmarkStart w:id="157" w:name="_Toc319407854"/>
      <w:bookmarkStart w:id="158" w:name="_Toc16875"/>
      <w:bookmarkStart w:id="159" w:name="_Toc392345930"/>
      <w:bookmarkStart w:id="160" w:name="_Toc152042335"/>
      <w:bookmarkStart w:id="161" w:name="_Toc144974527"/>
      <w:bookmarkStart w:id="162" w:name="_Toc152045559"/>
      <w:bookmarkStart w:id="163" w:name="_Toc229646740"/>
      <w:r>
        <w:rPr>
          <w:rFonts w:hint="eastAsia" w:asciiTheme="minorEastAsia" w:hAnsiTheme="minorEastAsia" w:eastAsiaTheme="minorEastAsia" w:cstheme="minorEastAsia"/>
          <w:b/>
          <w:color w:val="auto"/>
          <w:szCs w:val="24"/>
          <w:highlight w:val="none"/>
        </w:rPr>
        <w:t>3.</w:t>
      </w:r>
      <w:bookmarkEnd w:id="150"/>
      <w:bookmarkEnd w:id="151"/>
      <w:bookmarkEnd w:id="152"/>
      <w:bookmarkEnd w:id="153"/>
      <w:bookmarkEnd w:id="154"/>
      <w:bookmarkEnd w:id="155"/>
      <w:bookmarkEnd w:id="156"/>
      <w:bookmarkEnd w:id="157"/>
      <w:bookmarkStart w:id="164" w:name="_Toc322615416"/>
      <w:bookmarkStart w:id="165" w:name="_Toc323711768"/>
      <w:bookmarkStart w:id="166" w:name="_Toc319408090"/>
      <w:bookmarkStart w:id="167" w:name="_Toc245036621"/>
      <w:bookmarkStart w:id="168" w:name="_Toc319407855"/>
      <w:r>
        <w:rPr>
          <w:rFonts w:hint="eastAsia" w:asciiTheme="minorEastAsia" w:hAnsiTheme="minorEastAsia" w:eastAsiaTheme="minorEastAsia" w:cstheme="minorEastAsia"/>
          <w:b/>
          <w:color w:val="auto"/>
          <w:szCs w:val="24"/>
          <w:highlight w:val="none"/>
        </w:rPr>
        <w:t>5资格审查资料</w:t>
      </w:r>
      <w:bookmarkEnd w:id="158"/>
    </w:p>
    <w:p>
      <w:pPr>
        <w:ind w:firstLine="480" w:firstLineChars="200"/>
        <w:rPr>
          <w:rFonts w:asciiTheme="minorEastAsia" w:hAnsiTheme="minorEastAsia" w:eastAsiaTheme="minorEastAsia" w:cstheme="minorEastAsia"/>
          <w:strike/>
          <w:color w:val="auto"/>
          <w:sz w:val="24"/>
          <w:szCs w:val="24"/>
          <w:highlight w:val="none"/>
        </w:rPr>
      </w:pPr>
      <w:bookmarkStart w:id="169" w:name="_Toc152042330"/>
      <w:bookmarkStart w:id="170" w:name="_Toc144974522"/>
      <w:bookmarkStart w:id="171" w:name="_Toc300834974"/>
      <w:bookmarkStart w:id="172" w:name="_Toc247513977"/>
      <w:bookmarkStart w:id="173" w:name="_Toc247527578"/>
      <w:bookmarkStart w:id="174" w:name="_Toc152045554"/>
      <w:bookmarkStart w:id="175" w:name="_Toc229646735"/>
      <w:r>
        <w:rPr>
          <w:rFonts w:asciiTheme="minorEastAsia" w:hAnsiTheme="minorEastAsia" w:eastAsiaTheme="minorEastAsia" w:cstheme="minorEastAsia"/>
          <w:strike/>
          <w:color w:val="auto"/>
          <w:sz w:val="24"/>
          <w:szCs w:val="24"/>
          <w:highlight w:val="none"/>
        </w:rPr>
        <w:t xml:space="preserve">3.5.1 </w:t>
      </w:r>
      <w:r>
        <w:rPr>
          <w:rFonts w:hint="eastAsia" w:asciiTheme="minorEastAsia" w:hAnsiTheme="minorEastAsia" w:eastAsiaTheme="minorEastAsia" w:cstheme="minorEastAsia"/>
          <w:strike/>
          <w:color w:val="auto"/>
          <w:sz w:val="24"/>
          <w:szCs w:val="24"/>
          <w:highlight w:val="none"/>
        </w:rPr>
        <w:t>“投标人基本情况表”应附投标人营业执照副本、资质证书副本等材料的复印件。</w:t>
      </w:r>
    </w:p>
    <w:p>
      <w:pPr>
        <w:ind w:firstLine="480" w:firstLineChars="200"/>
        <w:rPr>
          <w:rFonts w:asciiTheme="minorEastAsia" w:hAnsiTheme="minorEastAsia" w:eastAsiaTheme="minorEastAsia" w:cstheme="minorEastAsia"/>
          <w:strike/>
          <w:color w:val="auto"/>
          <w:sz w:val="24"/>
          <w:szCs w:val="24"/>
          <w:highlight w:val="none"/>
        </w:rPr>
      </w:pPr>
      <w:r>
        <w:rPr>
          <w:rFonts w:asciiTheme="minorEastAsia" w:hAnsiTheme="minorEastAsia" w:eastAsiaTheme="minorEastAsia" w:cstheme="minorEastAsia"/>
          <w:strike/>
          <w:color w:val="auto"/>
          <w:sz w:val="24"/>
          <w:szCs w:val="24"/>
          <w:highlight w:val="none"/>
        </w:rPr>
        <w:t xml:space="preserve">3.5.2 </w:t>
      </w:r>
      <w:r>
        <w:rPr>
          <w:rFonts w:hint="eastAsia" w:asciiTheme="minorEastAsia" w:hAnsiTheme="minorEastAsia" w:eastAsiaTheme="minorEastAsia" w:cstheme="minorEastAsia"/>
          <w:strike/>
          <w:color w:val="auto"/>
          <w:sz w:val="24"/>
          <w:szCs w:val="24"/>
          <w:highlight w:val="none"/>
        </w:rPr>
        <w:t>“近年完成的类似项目情况表”应附中标通知书、合同复印件及医院验收证明，具体年份要求见投标人须知前附表。每张表格只填写一个项目，并标明序号。</w:t>
      </w:r>
    </w:p>
    <w:p>
      <w:pPr>
        <w:ind w:firstLine="480" w:firstLineChars="200"/>
        <w:rPr>
          <w:rFonts w:asciiTheme="minorEastAsia" w:hAnsiTheme="minorEastAsia" w:eastAsiaTheme="minorEastAsia" w:cstheme="minorEastAsia"/>
          <w:strike/>
          <w:color w:val="auto"/>
          <w:sz w:val="24"/>
          <w:szCs w:val="24"/>
          <w:highlight w:val="none"/>
        </w:rPr>
      </w:pPr>
      <w:r>
        <w:rPr>
          <w:rFonts w:asciiTheme="minorEastAsia" w:hAnsiTheme="minorEastAsia" w:eastAsiaTheme="minorEastAsia" w:cstheme="minorEastAsia"/>
          <w:strike/>
          <w:color w:val="auto"/>
          <w:sz w:val="24"/>
          <w:szCs w:val="24"/>
          <w:highlight w:val="none"/>
        </w:rPr>
        <w:t>3.5.3“正在进行的项目和新承接的项目情况表”应附中标通知书和合同复印件。每张表格只填写一个项目，并标明序号。</w:t>
      </w:r>
    </w:p>
    <w:p>
      <w:pPr>
        <w:ind w:firstLine="480" w:firstLineChars="200"/>
        <w:rPr>
          <w:rFonts w:asciiTheme="minorEastAsia" w:hAnsiTheme="minorEastAsia" w:eastAsiaTheme="minorEastAsia" w:cstheme="minorEastAsia"/>
          <w:strike/>
          <w:color w:val="auto"/>
          <w:sz w:val="24"/>
          <w:szCs w:val="24"/>
          <w:highlight w:val="none"/>
        </w:rPr>
      </w:pPr>
      <w:r>
        <w:rPr>
          <w:rFonts w:asciiTheme="minorEastAsia" w:hAnsiTheme="minorEastAsia" w:eastAsiaTheme="minorEastAsia" w:cstheme="minorEastAsia"/>
          <w:strike/>
          <w:color w:val="auto"/>
          <w:sz w:val="24"/>
          <w:szCs w:val="24"/>
          <w:highlight w:val="none"/>
        </w:rPr>
        <w:t xml:space="preserve">3.5.5 </w:t>
      </w:r>
      <w:r>
        <w:rPr>
          <w:rFonts w:hint="eastAsia" w:asciiTheme="minorEastAsia" w:hAnsiTheme="minorEastAsia" w:eastAsiaTheme="minorEastAsia" w:cstheme="minorEastAsia"/>
          <w:strike/>
          <w:color w:val="auto"/>
          <w:sz w:val="24"/>
          <w:szCs w:val="24"/>
          <w:highlight w:val="none"/>
        </w:rPr>
        <w:t>“近年发生的诉讼及仲裁情况”应说明相关情况，并附法院或仲裁机构作出的判决、裁决等有关法律文书复印件，具体年份要求见投标人须知前附表。</w:t>
      </w:r>
    </w:p>
    <w:p>
      <w:pPr>
        <w:ind w:firstLine="480" w:firstLineChars="200"/>
        <w:rPr>
          <w:rFonts w:asciiTheme="minorEastAsia" w:hAnsiTheme="minorEastAsia" w:eastAsiaTheme="minorEastAsia" w:cstheme="minorEastAsia"/>
          <w:bCs/>
          <w:strike/>
          <w:color w:val="auto"/>
          <w:sz w:val="24"/>
          <w:szCs w:val="24"/>
          <w:highlight w:val="none"/>
        </w:rPr>
      </w:pPr>
      <w:r>
        <w:rPr>
          <w:rFonts w:asciiTheme="minorEastAsia" w:hAnsiTheme="minorEastAsia" w:eastAsiaTheme="minorEastAsia" w:cstheme="minorEastAsia"/>
          <w:strike/>
          <w:color w:val="auto"/>
          <w:sz w:val="24"/>
          <w:szCs w:val="24"/>
          <w:highlight w:val="none"/>
        </w:rPr>
        <w:t xml:space="preserve">3.5.6 </w:t>
      </w:r>
      <w:r>
        <w:rPr>
          <w:rFonts w:hint="eastAsia" w:asciiTheme="minorEastAsia" w:hAnsiTheme="minorEastAsia" w:eastAsiaTheme="minorEastAsia" w:cstheme="minorEastAsia"/>
          <w:strike/>
          <w:color w:val="auto"/>
          <w:sz w:val="24"/>
          <w:szCs w:val="24"/>
          <w:highlight w:val="none"/>
        </w:rPr>
        <w:t>投标单位应本着诚实信用的原则，提供真实可信的资格审查资料。若投标单位提供虚假资料，一经查实，</w:t>
      </w:r>
      <w:r>
        <w:rPr>
          <w:rFonts w:hint="eastAsia" w:asciiTheme="minorEastAsia" w:hAnsiTheme="minorEastAsia" w:eastAsiaTheme="minorEastAsia" w:cstheme="minorEastAsia"/>
          <w:bCs/>
          <w:strike/>
          <w:color w:val="auto"/>
          <w:sz w:val="24"/>
          <w:szCs w:val="24"/>
          <w:highlight w:val="none"/>
        </w:rPr>
        <w:t>除</w:t>
      </w:r>
      <w:r>
        <w:rPr>
          <w:rFonts w:hint="eastAsia" w:asciiTheme="minorEastAsia" w:hAnsiTheme="minorEastAsia" w:eastAsiaTheme="minorEastAsia" w:cstheme="minorEastAsia"/>
          <w:strike/>
          <w:color w:val="auto"/>
          <w:sz w:val="24"/>
          <w:szCs w:val="24"/>
          <w:highlight w:val="none"/>
        </w:rPr>
        <w:t>按否决投标处理</w:t>
      </w:r>
      <w:r>
        <w:rPr>
          <w:rFonts w:hint="eastAsia" w:asciiTheme="minorEastAsia" w:hAnsiTheme="minorEastAsia" w:eastAsiaTheme="minorEastAsia" w:cstheme="minorEastAsia"/>
          <w:bCs/>
          <w:strike/>
          <w:color w:val="auto"/>
          <w:sz w:val="24"/>
          <w:szCs w:val="24"/>
          <w:highlight w:val="none"/>
        </w:rPr>
        <w:t>外，其投标保证金不予退还。</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3.5.7资格审查资料详见投标人须知前附表。</w:t>
      </w:r>
    </w:p>
    <w:bookmarkEnd w:id="169"/>
    <w:bookmarkEnd w:id="170"/>
    <w:bookmarkEnd w:id="171"/>
    <w:bookmarkEnd w:id="172"/>
    <w:bookmarkEnd w:id="173"/>
    <w:bookmarkEnd w:id="174"/>
    <w:bookmarkEnd w:id="175"/>
    <w:p>
      <w:pPr>
        <w:pStyle w:val="45"/>
        <w:spacing w:line="440" w:lineRule="exact"/>
        <w:rPr>
          <w:rFonts w:asciiTheme="minorEastAsia" w:hAnsiTheme="minorEastAsia" w:eastAsiaTheme="minorEastAsia" w:cstheme="minorEastAsia"/>
          <w:b/>
          <w:strike/>
          <w:color w:val="auto"/>
          <w:szCs w:val="24"/>
          <w:highlight w:val="none"/>
        </w:rPr>
      </w:pPr>
      <w:bookmarkStart w:id="176" w:name="_Toc29305"/>
      <w:r>
        <w:rPr>
          <w:rFonts w:asciiTheme="minorEastAsia" w:hAnsiTheme="minorEastAsia" w:eastAsiaTheme="minorEastAsia" w:cstheme="minorEastAsia"/>
          <w:b/>
          <w:strike/>
          <w:color w:val="auto"/>
          <w:szCs w:val="24"/>
          <w:highlight w:val="none"/>
        </w:rPr>
        <w:t>3.6备选投标方案</w:t>
      </w:r>
      <w:bookmarkEnd w:id="176"/>
    </w:p>
    <w:p>
      <w:pPr>
        <w:ind w:firstLine="480" w:firstLineChars="200"/>
        <w:rPr>
          <w:rFonts w:asciiTheme="minorEastAsia" w:hAnsiTheme="minorEastAsia" w:eastAsiaTheme="minorEastAsia" w:cstheme="minorEastAsia"/>
          <w:strike/>
          <w:color w:val="auto"/>
          <w:sz w:val="24"/>
          <w:szCs w:val="24"/>
          <w:highlight w:val="none"/>
        </w:rPr>
      </w:pPr>
      <w:r>
        <w:rPr>
          <w:rFonts w:hint="eastAsia" w:asciiTheme="minorEastAsia" w:hAnsiTheme="minorEastAsia" w:eastAsiaTheme="minorEastAsia" w:cstheme="minorEastAsia"/>
          <w:strike/>
          <w:color w:val="auto"/>
          <w:sz w:val="24"/>
          <w:szCs w:val="24"/>
          <w:highlight w:val="none"/>
        </w:rPr>
        <w:t>除投标人须知前附表另有规定外，投标人不得递交备选投标方案。允许投标人递交备选投标方案的，只有中标人所递交的备选方案方可予以考虑。评标委员会认为中标人的备选投标方案优于其按照招标文件要求编制的投标方案的，招标人可以接受该备选方案。</w:t>
      </w:r>
    </w:p>
    <w:p>
      <w:pPr>
        <w:pStyle w:val="45"/>
        <w:spacing w:line="440" w:lineRule="exact"/>
        <w:rPr>
          <w:rFonts w:asciiTheme="minorEastAsia" w:hAnsiTheme="minorEastAsia" w:eastAsiaTheme="minorEastAsia" w:cstheme="minorEastAsia"/>
          <w:b/>
          <w:color w:val="auto"/>
          <w:szCs w:val="24"/>
          <w:highlight w:val="none"/>
        </w:rPr>
      </w:pPr>
      <w:bookmarkStart w:id="177" w:name="_Toc11039"/>
      <w:r>
        <w:rPr>
          <w:rFonts w:hint="eastAsia" w:asciiTheme="minorEastAsia" w:hAnsiTheme="minorEastAsia" w:eastAsiaTheme="minorEastAsia" w:cstheme="minorEastAsia"/>
          <w:b/>
          <w:color w:val="auto"/>
          <w:szCs w:val="24"/>
          <w:highlight w:val="none"/>
        </w:rPr>
        <w:t>3.7投标文件的编制</w:t>
      </w:r>
      <w:bookmarkEnd w:id="159"/>
      <w:bookmarkEnd w:id="164"/>
      <w:bookmarkEnd w:id="165"/>
      <w:bookmarkEnd w:id="166"/>
      <w:bookmarkEnd w:id="167"/>
      <w:bookmarkEnd w:id="168"/>
      <w:bookmarkEnd w:id="177"/>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3.7.1投标文件应按第七章“投标文件格式”进行编写，如有必要，可以增加附页，作为投标文件的组成部分。其中，投标函在满足招标文件实质性要求的基础上，可以提出比招标文件要求更有利于招标人的承诺。</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3.7.2投标文件应用不褪色的材料书写或打印，并由投标人的法定代表人或其委托代理人签字或盖单位章。委托代理人签字的，投标文件应附法定代表人签署的授权委托书。投标文件应尽量避免涂改、行间插字或删除。如果出现上述情况，改动之处应加盖单位章或由投标人的法定代表人或其授权的代理人签字确认。签字或盖章的具体要求见投标人须知前附表。</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3.7.3投标文件正本一份, 副本份数见投标人须知前附表。正本和副本的封面上应清楚地标记“正本”或“副本”的字样。当副本和正本不一致时，以正本为准。</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3.7.4投标文件的正本与副本应分别装订成册，并编制目录。</w:t>
      </w:r>
      <w:bookmarkStart w:id="178" w:name="_Toc392345931"/>
      <w:bookmarkStart w:id="179" w:name="_Toc152045555"/>
      <w:bookmarkStart w:id="180" w:name="_Toc323711769"/>
      <w:bookmarkStart w:id="181" w:name="_Toc245036622"/>
      <w:bookmarkStart w:id="182" w:name="_Toc144974523"/>
      <w:bookmarkStart w:id="183" w:name="_Toc152042331"/>
      <w:r>
        <w:rPr>
          <w:rFonts w:hint="eastAsia" w:asciiTheme="minorEastAsia" w:hAnsiTheme="minorEastAsia" w:eastAsiaTheme="minorEastAsia" w:cstheme="minorEastAsia"/>
          <w:color w:val="auto"/>
          <w:sz w:val="24"/>
          <w:szCs w:val="24"/>
          <w:highlight w:val="none"/>
        </w:rPr>
        <w:t>具体装订要求见投标人须知前附表规定。</w:t>
      </w:r>
    </w:p>
    <w:p>
      <w:pPr>
        <w:pStyle w:val="44"/>
        <w:spacing w:line="440" w:lineRule="exact"/>
        <w:rPr>
          <w:rFonts w:asciiTheme="minorEastAsia" w:hAnsiTheme="minorEastAsia" w:eastAsiaTheme="minorEastAsia" w:cstheme="minorEastAsia"/>
          <w:color w:val="auto"/>
          <w:sz w:val="24"/>
          <w:szCs w:val="24"/>
          <w:highlight w:val="none"/>
        </w:rPr>
      </w:pPr>
      <w:bookmarkStart w:id="184" w:name="_Toc7085"/>
      <w:r>
        <w:rPr>
          <w:rFonts w:hint="eastAsia" w:asciiTheme="minorEastAsia" w:hAnsiTheme="minorEastAsia" w:eastAsiaTheme="minorEastAsia" w:cstheme="minorEastAsia"/>
          <w:color w:val="auto"/>
          <w:sz w:val="24"/>
          <w:szCs w:val="24"/>
          <w:highlight w:val="none"/>
        </w:rPr>
        <w:t>4. 投标</w:t>
      </w:r>
      <w:bookmarkEnd w:id="178"/>
      <w:bookmarkEnd w:id="179"/>
      <w:bookmarkEnd w:id="180"/>
      <w:bookmarkEnd w:id="181"/>
      <w:bookmarkEnd w:id="182"/>
      <w:bookmarkEnd w:id="183"/>
      <w:bookmarkEnd w:id="184"/>
    </w:p>
    <w:p>
      <w:pPr>
        <w:pStyle w:val="45"/>
        <w:spacing w:line="440" w:lineRule="exact"/>
        <w:rPr>
          <w:rFonts w:asciiTheme="minorEastAsia" w:hAnsiTheme="minorEastAsia" w:eastAsiaTheme="minorEastAsia" w:cstheme="minorEastAsia"/>
          <w:b/>
          <w:color w:val="auto"/>
          <w:szCs w:val="24"/>
          <w:highlight w:val="none"/>
        </w:rPr>
      </w:pPr>
      <w:bookmarkStart w:id="185" w:name="_Toc152045556"/>
      <w:bookmarkStart w:id="186" w:name="_Toc144974524"/>
      <w:bookmarkStart w:id="187" w:name="_Toc152042332"/>
      <w:bookmarkStart w:id="188" w:name="_Toc323711770"/>
      <w:bookmarkStart w:id="189" w:name="_Toc319408092"/>
      <w:bookmarkStart w:id="190" w:name="_Toc245036623"/>
      <w:bookmarkStart w:id="191" w:name="_Toc322615418"/>
      <w:bookmarkStart w:id="192" w:name="_Toc392345932"/>
      <w:bookmarkStart w:id="193" w:name="_Toc20016"/>
      <w:bookmarkStart w:id="194" w:name="_Toc319407857"/>
      <w:r>
        <w:rPr>
          <w:rFonts w:hint="eastAsia" w:asciiTheme="minorEastAsia" w:hAnsiTheme="minorEastAsia" w:eastAsiaTheme="minorEastAsia" w:cstheme="minorEastAsia"/>
          <w:b/>
          <w:color w:val="auto"/>
          <w:szCs w:val="24"/>
          <w:highlight w:val="none"/>
        </w:rPr>
        <w:t>4.1 投标文件的密封和标记</w:t>
      </w:r>
      <w:bookmarkEnd w:id="185"/>
      <w:bookmarkEnd w:id="186"/>
      <w:bookmarkEnd w:id="187"/>
      <w:bookmarkEnd w:id="188"/>
      <w:bookmarkEnd w:id="189"/>
      <w:bookmarkEnd w:id="190"/>
      <w:bookmarkEnd w:id="191"/>
      <w:bookmarkEnd w:id="192"/>
      <w:bookmarkEnd w:id="193"/>
      <w:bookmarkEnd w:id="194"/>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4.1.1</w:t>
      </w:r>
      <w:r>
        <w:rPr>
          <w:rFonts w:hint="eastAsia" w:ascii="宋体" w:hAnsi="宋体" w:cs="宋体"/>
          <w:b/>
          <w:bCs/>
          <w:color w:val="auto"/>
          <w:sz w:val="24"/>
          <w:szCs w:val="24"/>
          <w:highlight w:val="none"/>
        </w:rPr>
        <w:t>投标文件的正本副本统一包装在一个密封袋内</w:t>
      </w:r>
      <w:r>
        <w:rPr>
          <w:rFonts w:hint="eastAsia" w:asciiTheme="minorEastAsia" w:hAnsiTheme="minorEastAsia" w:eastAsiaTheme="minorEastAsia" w:cstheme="minorEastAsia"/>
          <w:color w:val="auto"/>
          <w:sz w:val="24"/>
          <w:szCs w:val="24"/>
          <w:highlight w:val="none"/>
        </w:rPr>
        <w:t>（包装要求见投标人须知前附表）。</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4.1.2 投标文件封套上应写明的内容见投标人须知前附表。</w:t>
      </w:r>
    </w:p>
    <w:p>
      <w:pPr>
        <w:pStyle w:val="45"/>
        <w:spacing w:line="440" w:lineRule="exact"/>
        <w:rPr>
          <w:rFonts w:asciiTheme="minorEastAsia" w:hAnsiTheme="minorEastAsia" w:eastAsiaTheme="minorEastAsia" w:cstheme="minorEastAsia"/>
          <w:b/>
          <w:color w:val="auto"/>
          <w:szCs w:val="24"/>
          <w:highlight w:val="none"/>
        </w:rPr>
      </w:pPr>
      <w:bookmarkStart w:id="195" w:name="_Toc319407858"/>
      <w:bookmarkStart w:id="196" w:name="_Toc245036624"/>
      <w:bookmarkStart w:id="197" w:name="_Toc323711771"/>
      <w:bookmarkStart w:id="198" w:name="_Toc322615419"/>
      <w:bookmarkStart w:id="199" w:name="_Toc28433"/>
      <w:bookmarkStart w:id="200" w:name="_Toc319408093"/>
      <w:bookmarkStart w:id="201" w:name="_Toc144974525"/>
      <w:bookmarkStart w:id="202" w:name="_Toc152042333"/>
      <w:bookmarkStart w:id="203" w:name="_Toc392345933"/>
      <w:bookmarkStart w:id="204" w:name="_Toc152045557"/>
      <w:r>
        <w:rPr>
          <w:rFonts w:hint="eastAsia" w:asciiTheme="minorEastAsia" w:hAnsiTheme="minorEastAsia" w:eastAsiaTheme="minorEastAsia" w:cstheme="minorEastAsia"/>
          <w:b/>
          <w:color w:val="auto"/>
          <w:szCs w:val="24"/>
          <w:highlight w:val="none"/>
        </w:rPr>
        <w:t>4.2 投标文件的递交</w:t>
      </w:r>
      <w:bookmarkEnd w:id="195"/>
      <w:bookmarkEnd w:id="196"/>
      <w:bookmarkEnd w:id="197"/>
      <w:bookmarkEnd w:id="198"/>
      <w:bookmarkEnd w:id="199"/>
      <w:bookmarkEnd w:id="200"/>
      <w:bookmarkEnd w:id="201"/>
      <w:bookmarkEnd w:id="202"/>
      <w:bookmarkEnd w:id="203"/>
      <w:bookmarkEnd w:id="204"/>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4.2.1 投标人应在前附表第2.2.2项规定的投标截止时间前递交投标文件。</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4.2.2 投标人递交投标文件的地点：见投标人须知前附表。</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4.2.3 除投标人须知前附表另有规定外，投标人所递交的投标文件不予退还。</w:t>
      </w:r>
    </w:p>
    <w:p>
      <w:pPr>
        <w:ind w:firstLine="480" w:firstLineChars="200"/>
        <w:rPr>
          <w:rFonts w:asciiTheme="minorEastAsia" w:hAnsiTheme="minorEastAsia" w:eastAsiaTheme="minorEastAsia" w:cstheme="minorEastAsia"/>
          <w:strike/>
          <w:color w:val="auto"/>
          <w:sz w:val="24"/>
          <w:szCs w:val="24"/>
          <w:highlight w:val="none"/>
        </w:rPr>
      </w:pPr>
      <w:r>
        <w:rPr>
          <w:rFonts w:asciiTheme="minorEastAsia" w:hAnsiTheme="minorEastAsia" w:eastAsiaTheme="minorEastAsia" w:cstheme="minorEastAsia"/>
          <w:strike/>
          <w:color w:val="auto"/>
          <w:sz w:val="24"/>
          <w:szCs w:val="24"/>
          <w:highlight w:val="none"/>
        </w:rPr>
        <w:t xml:space="preserve">4.2.4 </w:t>
      </w:r>
      <w:r>
        <w:rPr>
          <w:rFonts w:hint="eastAsia" w:asciiTheme="minorEastAsia" w:hAnsiTheme="minorEastAsia" w:eastAsiaTheme="minorEastAsia" w:cstheme="minorEastAsia"/>
          <w:strike/>
          <w:color w:val="auto"/>
          <w:sz w:val="24"/>
          <w:szCs w:val="24"/>
          <w:highlight w:val="none"/>
        </w:rPr>
        <w:t>招标人收到投标文件后，向投标人出具签收凭证。</w:t>
      </w:r>
    </w:p>
    <w:p>
      <w:pPr>
        <w:pStyle w:val="45"/>
        <w:spacing w:line="440" w:lineRule="exact"/>
        <w:rPr>
          <w:rFonts w:asciiTheme="minorEastAsia" w:hAnsiTheme="minorEastAsia" w:eastAsiaTheme="minorEastAsia" w:cstheme="minorEastAsia"/>
          <w:b/>
          <w:color w:val="auto"/>
          <w:szCs w:val="24"/>
          <w:highlight w:val="none"/>
        </w:rPr>
      </w:pPr>
      <w:bookmarkStart w:id="205" w:name="_Toc319408094"/>
      <w:bookmarkStart w:id="206" w:name="_Toc144974526"/>
      <w:bookmarkStart w:id="207" w:name="_Toc152045558"/>
      <w:bookmarkStart w:id="208" w:name="_Toc323711772"/>
      <w:bookmarkStart w:id="209" w:name="_Toc245036625"/>
      <w:bookmarkStart w:id="210" w:name="_Toc322615420"/>
      <w:bookmarkStart w:id="211" w:name="_Toc319407859"/>
      <w:bookmarkStart w:id="212" w:name="_Toc152042334"/>
      <w:bookmarkStart w:id="213" w:name="_Toc21598"/>
      <w:bookmarkStart w:id="214" w:name="_Toc392345934"/>
      <w:r>
        <w:rPr>
          <w:rFonts w:hint="eastAsia" w:asciiTheme="minorEastAsia" w:hAnsiTheme="minorEastAsia" w:eastAsiaTheme="minorEastAsia" w:cstheme="minorEastAsia"/>
          <w:b/>
          <w:color w:val="auto"/>
          <w:szCs w:val="24"/>
          <w:highlight w:val="none"/>
        </w:rPr>
        <w:t>4.3 投标文件的修改与撤回</w:t>
      </w:r>
      <w:bookmarkEnd w:id="205"/>
      <w:bookmarkEnd w:id="206"/>
      <w:bookmarkEnd w:id="207"/>
      <w:bookmarkEnd w:id="208"/>
      <w:bookmarkEnd w:id="209"/>
      <w:bookmarkEnd w:id="210"/>
      <w:bookmarkEnd w:id="211"/>
      <w:bookmarkEnd w:id="212"/>
      <w:bookmarkEnd w:id="213"/>
      <w:bookmarkEnd w:id="214"/>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4.3.1 在前附表第2.2.2项规定的投标截止时间前，投标人可以修改或撤回已递交的投标文件，但应以书面形式通知招标人。</w:t>
      </w:r>
    </w:p>
    <w:p>
      <w:pPr>
        <w:ind w:firstLine="480" w:firstLineChars="200"/>
        <w:rPr>
          <w:rFonts w:asciiTheme="minorEastAsia" w:hAnsiTheme="minorEastAsia" w:eastAsiaTheme="minorEastAsia" w:cstheme="minorEastAsia"/>
          <w:strike/>
          <w:color w:val="auto"/>
          <w:sz w:val="24"/>
          <w:szCs w:val="24"/>
          <w:highlight w:val="none"/>
        </w:rPr>
      </w:pPr>
      <w:r>
        <w:rPr>
          <w:rFonts w:hint="eastAsia" w:asciiTheme="minorEastAsia" w:hAnsiTheme="minorEastAsia" w:eastAsiaTheme="minorEastAsia" w:cstheme="minorEastAsia"/>
          <w:color w:val="auto"/>
          <w:sz w:val="24"/>
          <w:szCs w:val="24"/>
          <w:highlight w:val="none"/>
        </w:rPr>
        <w:t>4.3.2 投标人修改或撤回已递交投标文件的书面通知应按照本章第3.7.2项的要求签字或盖章。</w:t>
      </w:r>
      <w:r>
        <w:rPr>
          <w:rFonts w:hint="eastAsia" w:asciiTheme="minorEastAsia" w:hAnsiTheme="minorEastAsia" w:eastAsiaTheme="minorEastAsia" w:cstheme="minorEastAsia"/>
          <w:strike/>
          <w:color w:val="auto"/>
          <w:sz w:val="24"/>
          <w:szCs w:val="24"/>
          <w:highlight w:val="none"/>
        </w:rPr>
        <w:t>招标人收到书面通知后，向投标人出具签收凭证。</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4.3.3 修改的内容为投标文件的组成部分。修改的投标文件应按照本章第3条、第4条规定进行编制、密封、标记和递交，并标明“修改”字样。</w:t>
      </w:r>
    </w:p>
    <w:p>
      <w:pPr>
        <w:pStyle w:val="45"/>
        <w:spacing w:line="440" w:lineRule="exact"/>
        <w:rPr>
          <w:rFonts w:asciiTheme="minorEastAsia" w:hAnsiTheme="minorEastAsia" w:eastAsiaTheme="minorEastAsia" w:cstheme="minorEastAsia"/>
          <w:b/>
          <w:color w:val="auto"/>
          <w:szCs w:val="24"/>
          <w:highlight w:val="none"/>
        </w:rPr>
      </w:pPr>
      <w:bookmarkStart w:id="215" w:name="_Toc392345935"/>
      <w:bookmarkStart w:id="216" w:name="_Toc14614"/>
      <w:r>
        <w:rPr>
          <w:rFonts w:hint="eastAsia" w:asciiTheme="minorEastAsia" w:hAnsiTheme="minorEastAsia" w:eastAsiaTheme="minorEastAsia" w:cstheme="minorEastAsia"/>
          <w:b/>
          <w:color w:val="auto"/>
          <w:szCs w:val="24"/>
          <w:highlight w:val="none"/>
        </w:rPr>
        <w:t>4.4投标文件的拒收情形</w:t>
      </w:r>
      <w:bookmarkEnd w:id="215"/>
      <w:bookmarkEnd w:id="216"/>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详见投标人须知前附表。</w:t>
      </w:r>
    </w:p>
    <w:p>
      <w:pPr>
        <w:pStyle w:val="44"/>
        <w:spacing w:line="440" w:lineRule="exact"/>
        <w:rPr>
          <w:rFonts w:asciiTheme="minorEastAsia" w:hAnsiTheme="minorEastAsia" w:eastAsiaTheme="minorEastAsia" w:cstheme="minorEastAsia"/>
          <w:color w:val="auto"/>
          <w:sz w:val="24"/>
          <w:szCs w:val="24"/>
          <w:highlight w:val="none"/>
        </w:rPr>
      </w:pPr>
      <w:bookmarkStart w:id="217" w:name="_Toc18369"/>
      <w:bookmarkStart w:id="218" w:name="_Toc392345936"/>
      <w:r>
        <w:rPr>
          <w:rFonts w:hint="eastAsia" w:asciiTheme="minorEastAsia" w:hAnsiTheme="minorEastAsia" w:eastAsiaTheme="minorEastAsia" w:cstheme="minorEastAsia"/>
          <w:color w:val="auto"/>
          <w:sz w:val="24"/>
          <w:szCs w:val="24"/>
          <w:highlight w:val="none"/>
        </w:rPr>
        <w:t>5. 开标</w:t>
      </w:r>
      <w:bookmarkEnd w:id="160"/>
      <w:bookmarkEnd w:id="161"/>
      <w:bookmarkEnd w:id="162"/>
      <w:bookmarkEnd w:id="163"/>
      <w:r>
        <w:rPr>
          <w:rFonts w:hint="eastAsia" w:asciiTheme="minorEastAsia" w:hAnsiTheme="minorEastAsia" w:eastAsiaTheme="minorEastAsia" w:cstheme="minorEastAsia"/>
          <w:color w:val="auto"/>
          <w:sz w:val="24"/>
          <w:szCs w:val="24"/>
          <w:highlight w:val="none"/>
        </w:rPr>
        <w:t>程序</w:t>
      </w:r>
      <w:bookmarkEnd w:id="217"/>
      <w:bookmarkEnd w:id="218"/>
      <w:r>
        <w:rPr>
          <w:rFonts w:hint="eastAsia" w:asciiTheme="minorEastAsia" w:hAnsiTheme="minorEastAsia" w:eastAsiaTheme="minorEastAsia" w:cstheme="minorEastAsia"/>
          <w:b/>
          <w:bCs/>
          <w:color w:val="auto"/>
          <w:sz w:val="24"/>
          <w:szCs w:val="24"/>
          <w:highlight w:val="none"/>
        </w:rPr>
        <w:t>（为确保开评标现场的疫情防控安全，到现场参与开评标的各类人员应出示浙江省健康码。为减少人员聚集程度及滞留时间，招标人、招标代理工作人员原则上不超过三人，投标人不需在开标现场。）</w:t>
      </w:r>
    </w:p>
    <w:p>
      <w:pPr>
        <w:pStyle w:val="45"/>
        <w:spacing w:line="440" w:lineRule="exact"/>
        <w:rPr>
          <w:rFonts w:asciiTheme="minorEastAsia" w:hAnsiTheme="minorEastAsia" w:eastAsiaTheme="minorEastAsia" w:cstheme="minorEastAsia"/>
          <w:b/>
          <w:color w:val="auto"/>
          <w:szCs w:val="24"/>
          <w:highlight w:val="none"/>
        </w:rPr>
      </w:pPr>
      <w:bookmarkStart w:id="219" w:name="_Toc144974528"/>
      <w:bookmarkStart w:id="220" w:name="_Toc152045560"/>
      <w:bookmarkStart w:id="221" w:name="_Toc392345937"/>
      <w:bookmarkStart w:id="222" w:name="_Toc229646741"/>
      <w:bookmarkStart w:id="223" w:name="_Toc152042336"/>
      <w:bookmarkStart w:id="224" w:name="_Toc13624"/>
      <w:r>
        <w:rPr>
          <w:rFonts w:hint="eastAsia" w:asciiTheme="minorEastAsia" w:hAnsiTheme="minorEastAsia" w:eastAsiaTheme="minorEastAsia" w:cstheme="minorEastAsia"/>
          <w:b/>
          <w:color w:val="auto"/>
          <w:szCs w:val="24"/>
          <w:highlight w:val="none"/>
        </w:rPr>
        <w:t>5.1 开标时间和地点</w:t>
      </w:r>
      <w:bookmarkEnd w:id="219"/>
      <w:bookmarkEnd w:id="220"/>
      <w:bookmarkEnd w:id="221"/>
      <w:bookmarkEnd w:id="222"/>
      <w:bookmarkEnd w:id="223"/>
      <w:r>
        <w:rPr>
          <w:rFonts w:hint="eastAsia" w:asciiTheme="minorEastAsia" w:hAnsiTheme="minorEastAsia" w:eastAsiaTheme="minorEastAsia" w:cstheme="minorEastAsia"/>
          <w:b/>
          <w:color w:val="auto"/>
          <w:szCs w:val="24"/>
          <w:highlight w:val="none"/>
        </w:rPr>
        <w:t>、参加开标会议的要求</w:t>
      </w:r>
      <w:bookmarkEnd w:id="224"/>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招标人在投标人须知前附表第2.2.2项规定的投标截止时间（开标时间）和投标人须知前附表规定的地点公开开标，参加开标会议的要求见投标人须知前附表。</w:t>
      </w:r>
    </w:p>
    <w:p>
      <w:pPr>
        <w:pStyle w:val="45"/>
        <w:spacing w:line="440" w:lineRule="exact"/>
        <w:rPr>
          <w:rFonts w:asciiTheme="minorEastAsia" w:hAnsiTheme="minorEastAsia" w:eastAsiaTheme="minorEastAsia" w:cstheme="minorEastAsia"/>
          <w:b/>
          <w:color w:val="auto"/>
          <w:szCs w:val="24"/>
          <w:highlight w:val="none"/>
        </w:rPr>
      </w:pPr>
      <w:bookmarkStart w:id="225" w:name="_Toc152045561"/>
      <w:bookmarkStart w:id="226" w:name="_Toc392345938"/>
      <w:bookmarkStart w:id="227" w:name="_Toc152042337"/>
      <w:bookmarkStart w:id="228" w:name="_Toc28832"/>
      <w:bookmarkStart w:id="229" w:name="_Toc229646742"/>
      <w:bookmarkStart w:id="230" w:name="_Toc144974529"/>
      <w:r>
        <w:rPr>
          <w:rFonts w:hint="eastAsia" w:asciiTheme="minorEastAsia" w:hAnsiTheme="minorEastAsia" w:eastAsiaTheme="minorEastAsia" w:cstheme="minorEastAsia"/>
          <w:b/>
          <w:color w:val="auto"/>
          <w:szCs w:val="24"/>
          <w:highlight w:val="none"/>
        </w:rPr>
        <w:t>5.2开标</w:t>
      </w:r>
      <w:bookmarkEnd w:id="225"/>
      <w:bookmarkEnd w:id="226"/>
      <w:bookmarkEnd w:id="227"/>
      <w:bookmarkEnd w:id="228"/>
      <w:bookmarkEnd w:id="229"/>
      <w:bookmarkEnd w:id="230"/>
    </w:p>
    <w:p>
      <w:pPr>
        <w:ind w:firstLine="480" w:firstLineChars="200"/>
        <w:rPr>
          <w:rFonts w:asciiTheme="minorEastAsia" w:hAnsiTheme="minorEastAsia" w:eastAsiaTheme="minorEastAsia" w:cstheme="minorEastAsia"/>
          <w:color w:val="auto"/>
          <w:sz w:val="24"/>
          <w:szCs w:val="24"/>
          <w:highlight w:val="none"/>
        </w:rPr>
      </w:pPr>
      <w:bookmarkStart w:id="231" w:name="_Toc152045562"/>
      <w:bookmarkStart w:id="232" w:name="_Toc152042338"/>
      <w:bookmarkStart w:id="233" w:name="_Toc144974530"/>
      <w:r>
        <w:rPr>
          <w:rFonts w:hint="eastAsia" w:asciiTheme="minorEastAsia" w:hAnsiTheme="minorEastAsia" w:eastAsiaTheme="minorEastAsia" w:cstheme="minorEastAsia"/>
          <w:color w:val="auto"/>
          <w:sz w:val="24"/>
          <w:szCs w:val="24"/>
          <w:highlight w:val="none"/>
        </w:rPr>
        <w:t>主持人按下列程序进行开标：</w:t>
      </w:r>
    </w:p>
    <w:p>
      <w:pPr>
        <w:ind w:firstLine="480" w:firstLineChars="200"/>
        <w:rPr>
          <w:rFonts w:asciiTheme="minorEastAsia" w:hAnsiTheme="minorEastAsia" w:eastAsiaTheme="minorEastAsia" w:cstheme="minorEastAsia"/>
          <w:color w:val="auto"/>
          <w:sz w:val="24"/>
          <w:szCs w:val="24"/>
          <w:highlight w:val="none"/>
        </w:rPr>
      </w:pPr>
      <w:bookmarkStart w:id="234" w:name="_Toc296602450"/>
      <w:r>
        <w:rPr>
          <w:rFonts w:hint="eastAsia" w:asciiTheme="minorEastAsia" w:hAnsiTheme="minorEastAsia" w:eastAsiaTheme="minorEastAsia" w:cstheme="minorEastAsia"/>
          <w:color w:val="auto"/>
          <w:sz w:val="24"/>
          <w:szCs w:val="24"/>
          <w:highlight w:val="none"/>
        </w:rPr>
        <w:t>（1）宣布开标纪律；</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（2）公布在投标截止时间前递交投标文件的投标人名称，</w:t>
      </w:r>
      <w:r>
        <w:rPr>
          <w:rFonts w:hint="eastAsia" w:asciiTheme="minorEastAsia" w:hAnsiTheme="minorEastAsia" w:eastAsiaTheme="minorEastAsia" w:cstheme="minorEastAsia"/>
          <w:b/>
          <w:bCs/>
          <w:color w:val="auto"/>
          <w:sz w:val="24"/>
          <w:szCs w:val="24"/>
          <w:highlight w:val="none"/>
        </w:rPr>
        <w:t>投标人不需到场</w:t>
      </w:r>
      <w:r>
        <w:rPr>
          <w:rFonts w:hint="eastAsia" w:asciiTheme="minorEastAsia" w:hAnsiTheme="minorEastAsia" w:eastAsiaTheme="minorEastAsia" w:cstheme="minorEastAsia"/>
          <w:color w:val="auto"/>
          <w:sz w:val="24"/>
          <w:szCs w:val="24"/>
          <w:highlight w:val="none"/>
        </w:rPr>
        <w:t>。</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（3）宣布开标人、唱标人、记录人、监标人等有关人员姓名；</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（4）按照投标人须知前附表规定检查投标文件的密封情况；</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（5）按照投标人须知前附表的规定确定并宣布投标文件开标顺序；</w:t>
      </w:r>
    </w:p>
    <w:p>
      <w:pPr>
        <w:ind w:firstLine="480" w:firstLineChars="200"/>
        <w:rPr>
          <w:rFonts w:asciiTheme="minorEastAsia" w:hAnsiTheme="minorEastAsia" w:eastAsiaTheme="minorEastAsia" w:cstheme="minorEastAsia"/>
          <w:strike/>
          <w:color w:val="auto"/>
          <w:sz w:val="24"/>
          <w:szCs w:val="24"/>
          <w:highlight w:val="none"/>
        </w:rPr>
      </w:pPr>
      <w:r>
        <w:rPr>
          <w:rFonts w:hint="eastAsia" w:asciiTheme="minorEastAsia" w:hAnsiTheme="minorEastAsia" w:eastAsiaTheme="minorEastAsia" w:cstheme="minorEastAsia"/>
          <w:strike/>
          <w:color w:val="auto"/>
          <w:sz w:val="24"/>
          <w:szCs w:val="24"/>
          <w:highlight w:val="none"/>
        </w:rPr>
        <w:t>（</w:t>
      </w:r>
      <w:r>
        <w:rPr>
          <w:rFonts w:asciiTheme="minorEastAsia" w:hAnsiTheme="minorEastAsia" w:eastAsiaTheme="minorEastAsia" w:cstheme="minorEastAsia"/>
          <w:strike/>
          <w:color w:val="auto"/>
          <w:sz w:val="24"/>
          <w:szCs w:val="24"/>
          <w:highlight w:val="none"/>
        </w:rPr>
        <w:t xml:space="preserve">6）设有标底的，公布标底； </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（7）按照宣布的开标顺序当众开标，公布投标人名称、标段名称、投标保证金的递交情况</w:t>
      </w:r>
      <w:r>
        <w:rPr>
          <w:rFonts w:hint="eastAsia" w:asciiTheme="minorEastAsia" w:hAnsiTheme="minorEastAsia" w:eastAsiaTheme="minorEastAsia" w:cstheme="minorEastAsia"/>
          <w:color w:val="auto"/>
          <w:sz w:val="24"/>
          <w:szCs w:val="24"/>
          <w:highlight w:val="none"/>
          <w:lang w:bidi="ar"/>
        </w:rPr>
        <w:t>，评标委</w:t>
      </w:r>
      <w:r>
        <w:rPr>
          <w:rFonts w:asciiTheme="minorEastAsia" w:hAnsiTheme="minorEastAsia" w:eastAsiaTheme="minorEastAsia" w:cstheme="minorEastAsia"/>
          <w:color w:val="auto"/>
          <w:sz w:val="24"/>
          <w:szCs w:val="24"/>
          <w:highlight w:val="none"/>
          <w:lang w:bidi="ar"/>
        </w:rPr>
        <w:t xml:space="preserve"> </w:t>
      </w:r>
      <w:r>
        <w:rPr>
          <w:rFonts w:hint="eastAsia" w:asciiTheme="minorEastAsia" w:hAnsiTheme="minorEastAsia" w:eastAsiaTheme="minorEastAsia" w:cstheme="minorEastAsia"/>
          <w:color w:val="auto"/>
          <w:sz w:val="24"/>
          <w:szCs w:val="24"/>
          <w:highlight w:val="none"/>
          <w:lang w:bidi="ar"/>
        </w:rPr>
        <w:t>员会先对投标人进行资格审查</w:t>
      </w:r>
      <w:r>
        <w:rPr>
          <w:rFonts w:hint="eastAsia" w:asciiTheme="minorEastAsia" w:hAnsiTheme="minorEastAsia" w:eastAsiaTheme="minorEastAsia" w:cstheme="minorEastAsia"/>
          <w:color w:val="auto"/>
          <w:sz w:val="24"/>
          <w:szCs w:val="24"/>
          <w:highlight w:val="none"/>
        </w:rPr>
        <w:t>；</w:t>
      </w:r>
    </w:p>
    <w:p>
      <w:pPr>
        <w:widowControl/>
        <w:ind w:firstLine="480" w:firstLineChars="200"/>
        <w:jc w:val="left"/>
        <w:rPr>
          <w:rFonts w:asciiTheme="minorEastAsia" w:hAnsiTheme="minorEastAsia" w:eastAsiaTheme="minorEastAsia" w:cstheme="minorEastAsia"/>
          <w:color w:val="auto"/>
          <w:sz w:val="24"/>
          <w:szCs w:val="24"/>
          <w:highlight w:val="none"/>
          <w:lang w:bidi="ar"/>
        </w:rPr>
      </w:pPr>
      <w:r>
        <w:rPr>
          <w:rFonts w:hint="eastAsia" w:asciiTheme="minorEastAsia" w:hAnsiTheme="minorEastAsia" w:eastAsiaTheme="minorEastAsia" w:cstheme="minorEastAsia"/>
          <w:color w:val="auto"/>
          <w:sz w:val="24"/>
          <w:szCs w:val="24"/>
          <w:highlight w:val="none"/>
          <w:lang w:bidi="ar"/>
        </w:rPr>
        <w:t>（</w:t>
      </w:r>
      <w:r>
        <w:rPr>
          <w:rFonts w:asciiTheme="minorEastAsia" w:hAnsiTheme="minorEastAsia" w:eastAsiaTheme="minorEastAsia" w:cstheme="minorEastAsia"/>
          <w:color w:val="auto"/>
          <w:sz w:val="24"/>
          <w:szCs w:val="24"/>
          <w:highlight w:val="none"/>
          <w:lang w:bidi="ar"/>
        </w:rPr>
        <w:t>8）启封技术标，由评标委员会对投标人的技术标进行综合评议并打分，宣布各投标人技术标得</w:t>
      </w:r>
      <w:r>
        <w:rPr>
          <w:rFonts w:hint="eastAsia" w:asciiTheme="minorEastAsia" w:hAnsiTheme="minorEastAsia" w:eastAsiaTheme="minorEastAsia" w:cstheme="minorEastAsia"/>
          <w:color w:val="auto"/>
          <w:sz w:val="24"/>
          <w:szCs w:val="24"/>
          <w:highlight w:val="none"/>
          <w:lang w:bidi="ar"/>
        </w:rPr>
        <w:t>分；</w:t>
      </w:r>
    </w:p>
    <w:p>
      <w:pPr>
        <w:widowControl/>
        <w:ind w:firstLine="480" w:firstLineChars="200"/>
        <w:jc w:val="left"/>
        <w:rPr>
          <w:rFonts w:asciiTheme="minorEastAsia" w:hAnsiTheme="minorEastAsia" w:eastAsiaTheme="minorEastAsia" w:cstheme="minorEastAsia"/>
          <w:color w:val="auto"/>
          <w:sz w:val="24"/>
          <w:szCs w:val="24"/>
          <w:highlight w:val="none"/>
          <w:lang w:bidi="ar"/>
        </w:rPr>
      </w:pPr>
      <w:r>
        <w:rPr>
          <w:rFonts w:hint="eastAsia" w:asciiTheme="minorEastAsia" w:hAnsiTheme="minorEastAsia" w:eastAsiaTheme="minorEastAsia" w:cstheme="minorEastAsia"/>
          <w:color w:val="auto"/>
          <w:sz w:val="24"/>
          <w:szCs w:val="24"/>
          <w:highlight w:val="none"/>
          <w:lang w:bidi="ar"/>
        </w:rPr>
        <w:t>（</w:t>
      </w:r>
      <w:r>
        <w:rPr>
          <w:rFonts w:asciiTheme="minorEastAsia" w:hAnsiTheme="minorEastAsia" w:eastAsiaTheme="minorEastAsia" w:cstheme="minorEastAsia"/>
          <w:color w:val="auto"/>
          <w:sz w:val="24"/>
          <w:szCs w:val="24"/>
          <w:highlight w:val="none"/>
          <w:lang w:bidi="ar"/>
        </w:rPr>
        <w:t>9）启封商务标，评标委员会对商务标进行评议并计算得分，宣布商务标得分；</w:t>
      </w:r>
    </w:p>
    <w:p>
      <w:pPr>
        <w:widowControl/>
        <w:ind w:firstLine="480" w:firstLineChars="200"/>
        <w:jc w:val="left"/>
        <w:rPr>
          <w:rFonts w:asciiTheme="minorEastAsia" w:hAnsiTheme="minorEastAsia" w:eastAsiaTheme="minorEastAsia" w:cstheme="minorEastAsia"/>
          <w:color w:val="auto"/>
          <w:sz w:val="24"/>
          <w:szCs w:val="24"/>
          <w:highlight w:val="none"/>
          <w:lang w:bidi="ar"/>
        </w:rPr>
      </w:pPr>
      <w:r>
        <w:rPr>
          <w:rFonts w:hint="eastAsia" w:asciiTheme="minorEastAsia" w:hAnsiTheme="minorEastAsia" w:eastAsiaTheme="minorEastAsia" w:cstheme="minorEastAsia"/>
          <w:color w:val="auto"/>
          <w:sz w:val="24"/>
          <w:szCs w:val="24"/>
          <w:highlight w:val="none"/>
          <w:lang w:bidi="ar"/>
        </w:rPr>
        <w:t>（</w:t>
      </w:r>
      <w:r>
        <w:rPr>
          <w:rFonts w:asciiTheme="minorEastAsia" w:hAnsiTheme="minorEastAsia" w:eastAsiaTheme="minorEastAsia" w:cstheme="minorEastAsia"/>
          <w:color w:val="auto"/>
          <w:sz w:val="24"/>
          <w:szCs w:val="24"/>
          <w:highlight w:val="none"/>
          <w:lang w:bidi="ar"/>
        </w:rPr>
        <w:t>10）宣布各投标人总得分，宣布中标候选人；</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（11）</w:t>
      </w:r>
      <w:r>
        <w:rPr>
          <w:rFonts w:hint="eastAsia" w:asciiTheme="minorEastAsia" w:hAnsiTheme="minorEastAsia" w:eastAsiaTheme="minorEastAsia" w:cstheme="minorEastAsia"/>
          <w:strike/>
          <w:color w:val="auto"/>
          <w:sz w:val="24"/>
          <w:szCs w:val="24"/>
          <w:highlight w:val="none"/>
        </w:rPr>
        <w:t>投标人代表</w:t>
      </w:r>
      <w:r>
        <w:rPr>
          <w:rFonts w:hint="eastAsia" w:asciiTheme="minorEastAsia" w:hAnsiTheme="minorEastAsia" w:eastAsiaTheme="minorEastAsia" w:cstheme="minorEastAsia"/>
          <w:b/>
          <w:bCs/>
          <w:color w:val="auto"/>
          <w:sz w:val="24"/>
          <w:szCs w:val="24"/>
          <w:highlight w:val="none"/>
        </w:rPr>
        <w:t>（投标人不需签字确认）</w:t>
      </w:r>
      <w:r>
        <w:rPr>
          <w:rFonts w:hint="eastAsia" w:asciiTheme="minorEastAsia" w:hAnsiTheme="minorEastAsia" w:eastAsiaTheme="minorEastAsia" w:cstheme="minorEastAsia"/>
          <w:color w:val="auto"/>
          <w:sz w:val="24"/>
          <w:szCs w:val="24"/>
          <w:highlight w:val="none"/>
        </w:rPr>
        <w:t>、招标人代表、监标人、记录人等有关人员在开标记录上签字确认；</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（12）</w:t>
      </w:r>
      <w:r>
        <w:rPr>
          <w:rFonts w:hint="eastAsia" w:asciiTheme="minorEastAsia" w:hAnsiTheme="minorEastAsia" w:eastAsiaTheme="minorEastAsia" w:cstheme="minorEastAsia"/>
          <w:color w:val="auto"/>
          <w:sz w:val="24"/>
          <w:szCs w:val="24"/>
          <w:highlight w:val="none"/>
          <w:lang w:bidi="ar"/>
        </w:rPr>
        <w:t>根据招标人要求，公证员对开标评标全过程进行公证</w:t>
      </w:r>
      <w:r>
        <w:rPr>
          <w:rFonts w:hint="eastAsia" w:asciiTheme="minorEastAsia" w:hAnsiTheme="minorEastAsia" w:eastAsiaTheme="minorEastAsia" w:cstheme="minorEastAsia"/>
          <w:color w:val="auto"/>
          <w:sz w:val="24"/>
          <w:szCs w:val="24"/>
          <w:highlight w:val="none"/>
        </w:rPr>
        <w:t>。</w:t>
      </w:r>
    </w:p>
    <w:p>
      <w:pPr>
        <w:pStyle w:val="45"/>
        <w:spacing w:line="440" w:lineRule="exact"/>
        <w:rPr>
          <w:rFonts w:asciiTheme="minorEastAsia" w:hAnsiTheme="minorEastAsia" w:eastAsiaTheme="minorEastAsia" w:cstheme="minorEastAsia"/>
          <w:b/>
          <w:color w:val="auto"/>
          <w:szCs w:val="24"/>
          <w:highlight w:val="none"/>
        </w:rPr>
      </w:pPr>
      <w:bookmarkStart w:id="235" w:name="_Toc392345939"/>
      <w:bookmarkStart w:id="236" w:name="_Toc624"/>
      <w:r>
        <w:rPr>
          <w:rFonts w:hint="eastAsia" w:asciiTheme="minorEastAsia" w:hAnsiTheme="minorEastAsia" w:eastAsiaTheme="minorEastAsia" w:cstheme="minorEastAsia"/>
          <w:b/>
          <w:color w:val="auto"/>
          <w:szCs w:val="24"/>
          <w:highlight w:val="none"/>
        </w:rPr>
        <w:t>5.3 开标异议</w:t>
      </w:r>
      <w:bookmarkEnd w:id="234"/>
      <w:bookmarkEnd w:id="235"/>
      <w:bookmarkEnd w:id="236"/>
    </w:p>
    <w:p>
      <w:pPr>
        <w:ind w:firstLine="410" w:firstLineChars="171"/>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投标人对开标有异议的，应当在开标现场提出，招标人当场作出答复，并制作记录。</w:t>
      </w:r>
    </w:p>
    <w:p>
      <w:pPr>
        <w:pStyle w:val="44"/>
        <w:spacing w:line="440" w:lineRule="exact"/>
        <w:rPr>
          <w:rFonts w:asciiTheme="minorEastAsia" w:hAnsiTheme="minorEastAsia" w:eastAsiaTheme="minorEastAsia" w:cstheme="minorEastAsia"/>
          <w:color w:val="auto"/>
          <w:sz w:val="24"/>
          <w:szCs w:val="24"/>
          <w:highlight w:val="none"/>
        </w:rPr>
      </w:pPr>
      <w:bookmarkStart w:id="237" w:name="_Toc229646744"/>
      <w:bookmarkStart w:id="238" w:name="_Toc21142"/>
      <w:bookmarkStart w:id="239" w:name="_Toc392345940"/>
      <w:r>
        <w:rPr>
          <w:rFonts w:hint="eastAsia" w:asciiTheme="minorEastAsia" w:hAnsiTheme="minorEastAsia" w:eastAsiaTheme="minorEastAsia" w:cstheme="minorEastAsia"/>
          <w:color w:val="auto"/>
          <w:sz w:val="24"/>
          <w:szCs w:val="24"/>
          <w:highlight w:val="none"/>
        </w:rPr>
        <w:t>6. 评标</w:t>
      </w:r>
      <w:bookmarkEnd w:id="231"/>
      <w:bookmarkEnd w:id="232"/>
      <w:bookmarkEnd w:id="233"/>
      <w:bookmarkEnd w:id="237"/>
      <w:bookmarkEnd w:id="238"/>
      <w:bookmarkEnd w:id="239"/>
    </w:p>
    <w:p>
      <w:pPr>
        <w:pStyle w:val="45"/>
        <w:spacing w:line="440" w:lineRule="exact"/>
        <w:rPr>
          <w:rFonts w:asciiTheme="minorEastAsia" w:hAnsiTheme="minorEastAsia" w:eastAsiaTheme="minorEastAsia" w:cstheme="minorEastAsia"/>
          <w:b/>
          <w:color w:val="auto"/>
          <w:szCs w:val="24"/>
          <w:highlight w:val="none"/>
        </w:rPr>
      </w:pPr>
      <w:bookmarkStart w:id="240" w:name="_Toc144974531"/>
      <w:bookmarkStart w:id="241" w:name="_Toc392345941"/>
      <w:bookmarkStart w:id="242" w:name="_Toc229646745"/>
      <w:bookmarkStart w:id="243" w:name="_Toc152042339"/>
      <w:bookmarkStart w:id="244" w:name="_Toc7251"/>
      <w:bookmarkStart w:id="245" w:name="_Toc152045563"/>
      <w:r>
        <w:rPr>
          <w:rFonts w:hint="eastAsia" w:asciiTheme="minorEastAsia" w:hAnsiTheme="minorEastAsia" w:eastAsiaTheme="minorEastAsia" w:cstheme="minorEastAsia"/>
          <w:b/>
          <w:color w:val="auto"/>
          <w:szCs w:val="24"/>
          <w:highlight w:val="none"/>
        </w:rPr>
        <w:t>6.1 评标委员会</w:t>
      </w:r>
      <w:bookmarkEnd w:id="240"/>
      <w:bookmarkEnd w:id="241"/>
      <w:bookmarkEnd w:id="242"/>
      <w:bookmarkEnd w:id="243"/>
      <w:bookmarkEnd w:id="244"/>
      <w:bookmarkEnd w:id="245"/>
    </w:p>
    <w:p>
      <w:pPr>
        <w:ind w:firstLine="480" w:firstLineChars="200"/>
        <w:rPr>
          <w:rFonts w:asciiTheme="minorEastAsia" w:hAnsiTheme="minorEastAsia" w:eastAsiaTheme="minorEastAsia" w:cstheme="minorEastAsia"/>
          <w:color w:val="auto"/>
          <w:sz w:val="24"/>
          <w:szCs w:val="24"/>
          <w:highlight w:val="none"/>
        </w:rPr>
      </w:pPr>
      <w:bookmarkStart w:id="246" w:name="_Toc144974532"/>
      <w:bookmarkStart w:id="247" w:name="_Toc152042340"/>
      <w:bookmarkStart w:id="248" w:name="_Toc152045564"/>
      <w:bookmarkStart w:id="249" w:name="_Toc229646746"/>
      <w:r>
        <w:rPr>
          <w:rFonts w:hint="eastAsia" w:asciiTheme="minorEastAsia" w:hAnsiTheme="minorEastAsia" w:eastAsiaTheme="minorEastAsia" w:cstheme="minorEastAsia"/>
          <w:color w:val="auto"/>
          <w:sz w:val="24"/>
          <w:szCs w:val="24"/>
          <w:highlight w:val="none"/>
        </w:rPr>
        <w:t>6.1.1 评标由招标人依法组建的评标委员会负责。评标委员会成员人数以及技术、经济等方面专家的确定方式见投标人须知前附表。</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6.1.2 评标委员会成员有下列情形之一的，应当回避：</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（1）招标人或投标人的主要负责人的近亲属；</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（2）项目主管部门或者行政监督部门的人员；</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（3）与投标人有经济利益关系，可能影响对投标公正评审的；</w:t>
      </w:r>
    </w:p>
    <w:p>
      <w:pPr>
        <w:ind w:firstLine="410" w:firstLineChars="171"/>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（4）曾因在招标、评标以及其他与招标投标有关活动中从事违法行为而受过行政处罚或刑事处罚的。</w:t>
      </w:r>
    </w:p>
    <w:p>
      <w:pPr>
        <w:pStyle w:val="45"/>
        <w:tabs>
          <w:tab w:val="left" w:pos="2620"/>
        </w:tabs>
        <w:spacing w:line="440" w:lineRule="exact"/>
        <w:rPr>
          <w:rFonts w:asciiTheme="minorEastAsia" w:hAnsiTheme="minorEastAsia" w:eastAsiaTheme="minorEastAsia" w:cstheme="minorEastAsia"/>
          <w:b/>
          <w:color w:val="auto"/>
          <w:szCs w:val="24"/>
          <w:highlight w:val="none"/>
        </w:rPr>
      </w:pPr>
      <w:bookmarkStart w:id="250" w:name="_Toc28610"/>
      <w:bookmarkStart w:id="251" w:name="_Toc392345942"/>
      <w:r>
        <w:rPr>
          <w:rFonts w:hint="eastAsia" w:asciiTheme="minorEastAsia" w:hAnsiTheme="minorEastAsia" w:eastAsiaTheme="minorEastAsia" w:cstheme="minorEastAsia"/>
          <w:b/>
          <w:color w:val="auto"/>
          <w:szCs w:val="24"/>
          <w:highlight w:val="none"/>
        </w:rPr>
        <w:t>6.2 评标原则</w:t>
      </w:r>
      <w:bookmarkEnd w:id="246"/>
      <w:bookmarkEnd w:id="247"/>
      <w:bookmarkEnd w:id="248"/>
      <w:bookmarkEnd w:id="249"/>
      <w:bookmarkEnd w:id="250"/>
      <w:bookmarkEnd w:id="251"/>
      <w:r>
        <w:rPr>
          <w:rFonts w:hint="eastAsia" w:asciiTheme="minorEastAsia" w:hAnsiTheme="minorEastAsia" w:eastAsiaTheme="minorEastAsia" w:cstheme="minorEastAsia"/>
          <w:b/>
          <w:color w:val="auto"/>
          <w:szCs w:val="24"/>
          <w:highlight w:val="none"/>
        </w:rPr>
        <w:tab/>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评标活动遵循公平、公正、科学和择优的原则。</w:t>
      </w:r>
    </w:p>
    <w:p>
      <w:pPr>
        <w:pStyle w:val="45"/>
        <w:spacing w:line="440" w:lineRule="exact"/>
        <w:rPr>
          <w:rFonts w:asciiTheme="minorEastAsia" w:hAnsiTheme="minorEastAsia" w:eastAsiaTheme="minorEastAsia" w:cstheme="minorEastAsia"/>
          <w:b/>
          <w:color w:val="auto"/>
          <w:szCs w:val="24"/>
          <w:highlight w:val="none"/>
          <w:u w:val="single"/>
        </w:rPr>
      </w:pPr>
      <w:bookmarkStart w:id="252" w:name="_Toc152042341"/>
      <w:bookmarkStart w:id="253" w:name="_Toc1522"/>
      <w:bookmarkStart w:id="254" w:name="_Toc144974533"/>
      <w:bookmarkStart w:id="255" w:name="_Toc229646747"/>
      <w:bookmarkStart w:id="256" w:name="_Toc152045565"/>
      <w:bookmarkStart w:id="257" w:name="_Toc392345943"/>
      <w:r>
        <w:rPr>
          <w:rFonts w:hint="eastAsia" w:asciiTheme="minorEastAsia" w:hAnsiTheme="minorEastAsia" w:eastAsiaTheme="minorEastAsia" w:cstheme="minorEastAsia"/>
          <w:b/>
          <w:color w:val="auto"/>
          <w:szCs w:val="24"/>
          <w:highlight w:val="none"/>
        </w:rPr>
        <w:t>6.3 评标</w:t>
      </w:r>
      <w:bookmarkEnd w:id="252"/>
      <w:bookmarkEnd w:id="253"/>
      <w:bookmarkEnd w:id="254"/>
      <w:bookmarkEnd w:id="255"/>
      <w:bookmarkEnd w:id="256"/>
      <w:bookmarkEnd w:id="257"/>
    </w:p>
    <w:p>
      <w:pPr>
        <w:ind w:firstLine="480" w:firstLineChars="200"/>
        <w:rPr>
          <w:rFonts w:asciiTheme="minorEastAsia" w:hAnsiTheme="minorEastAsia" w:eastAsiaTheme="minorEastAsia" w:cstheme="minorEastAsia"/>
          <w:color w:val="auto"/>
          <w:sz w:val="24"/>
          <w:szCs w:val="24"/>
          <w:highlight w:val="none"/>
        </w:rPr>
      </w:pPr>
      <w:bookmarkStart w:id="258" w:name="_Toc144974534"/>
      <w:bookmarkStart w:id="259" w:name="_Toc152045566"/>
      <w:bookmarkStart w:id="260" w:name="_Toc152042342"/>
      <w:bookmarkStart w:id="261" w:name="_Toc229646748"/>
      <w:r>
        <w:rPr>
          <w:rFonts w:hint="eastAsia" w:asciiTheme="minorEastAsia" w:hAnsiTheme="minorEastAsia" w:eastAsiaTheme="minorEastAsia" w:cstheme="minorEastAsia"/>
          <w:color w:val="auto"/>
          <w:sz w:val="24"/>
          <w:szCs w:val="24"/>
          <w:highlight w:val="none"/>
        </w:rPr>
        <w:t>评标方法见投标人须知前附表，评标委员会按照招标文件规定的评标标准和方法，客观、公正地对投标文件提出评审意见。招标文件没有规定的评标标准和方法，不作为评标依据。</w:t>
      </w:r>
    </w:p>
    <w:p>
      <w:pPr>
        <w:pStyle w:val="45"/>
        <w:spacing w:line="440" w:lineRule="exact"/>
        <w:rPr>
          <w:rFonts w:asciiTheme="minorEastAsia" w:hAnsiTheme="minorEastAsia" w:eastAsiaTheme="minorEastAsia" w:cstheme="minorEastAsia"/>
          <w:b/>
          <w:color w:val="auto"/>
          <w:szCs w:val="24"/>
          <w:highlight w:val="none"/>
        </w:rPr>
      </w:pPr>
      <w:bookmarkStart w:id="262" w:name="_Toc413488678"/>
      <w:bookmarkStart w:id="263" w:name="_Toc27286"/>
      <w:r>
        <w:rPr>
          <w:rFonts w:hint="eastAsia" w:asciiTheme="minorEastAsia" w:hAnsiTheme="minorEastAsia" w:eastAsiaTheme="minorEastAsia" w:cstheme="minorEastAsia"/>
          <w:b/>
          <w:color w:val="auto"/>
          <w:szCs w:val="24"/>
          <w:highlight w:val="none"/>
        </w:rPr>
        <w:t>6.4中标候选人公示媒介</w:t>
      </w:r>
      <w:bookmarkEnd w:id="262"/>
      <w:bookmarkEnd w:id="263"/>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见投标人须知前附表。</w:t>
      </w:r>
    </w:p>
    <w:p>
      <w:pPr>
        <w:pStyle w:val="44"/>
        <w:spacing w:line="440" w:lineRule="exact"/>
        <w:rPr>
          <w:rFonts w:asciiTheme="minorEastAsia" w:hAnsiTheme="minorEastAsia" w:eastAsiaTheme="minorEastAsia" w:cstheme="minorEastAsia"/>
          <w:color w:val="auto"/>
          <w:sz w:val="24"/>
          <w:szCs w:val="24"/>
          <w:highlight w:val="none"/>
        </w:rPr>
      </w:pPr>
      <w:bookmarkStart w:id="264" w:name="_Toc392345944"/>
      <w:bookmarkStart w:id="265" w:name="_Toc31997"/>
      <w:r>
        <w:rPr>
          <w:rFonts w:hint="eastAsia" w:asciiTheme="minorEastAsia" w:hAnsiTheme="minorEastAsia" w:eastAsiaTheme="minorEastAsia" w:cstheme="minorEastAsia"/>
          <w:color w:val="auto"/>
          <w:sz w:val="24"/>
          <w:szCs w:val="24"/>
          <w:highlight w:val="none"/>
        </w:rPr>
        <w:t>7. 合同授予</w:t>
      </w:r>
      <w:bookmarkEnd w:id="258"/>
      <w:bookmarkEnd w:id="259"/>
      <w:bookmarkEnd w:id="260"/>
      <w:bookmarkEnd w:id="261"/>
      <w:bookmarkEnd w:id="264"/>
      <w:bookmarkEnd w:id="265"/>
    </w:p>
    <w:p>
      <w:pPr>
        <w:pStyle w:val="45"/>
        <w:spacing w:line="440" w:lineRule="exact"/>
        <w:rPr>
          <w:rFonts w:asciiTheme="minorEastAsia" w:hAnsiTheme="minorEastAsia" w:eastAsiaTheme="minorEastAsia" w:cstheme="minorEastAsia"/>
          <w:b/>
          <w:color w:val="auto"/>
          <w:szCs w:val="24"/>
          <w:highlight w:val="none"/>
        </w:rPr>
      </w:pPr>
      <w:bookmarkStart w:id="266" w:name="_Toc152042343"/>
      <w:bookmarkStart w:id="267" w:name="_Toc392345945"/>
      <w:bookmarkStart w:id="268" w:name="_Toc144974535"/>
      <w:bookmarkStart w:id="269" w:name="_Toc152045567"/>
      <w:bookmarkStart w:id="270" w:name="_Toc8962"/>
      <w:bookmarkStart w:id="271" w:name="_Toc229646749"/>
      <w:r>
        <w:rPr>
          <w:rFonts w:hint="eastAsia" w:asciiTheme="minorEastAsia" w:hAnsiTheme="minorEastAsia" w:eastAsiaTheme="minorEastAsia" w:cstheme="minorEastAsia"/>
          <w:b/>
          <w:color w:val="auto"/>
          <w:szCs w:val="24"/>
          <w:highlight w:val="none"/>
        </w:rPr>
        <w:t>7.1 定标方式</w:t>
      </w:r>
      <w:bookmarkEnd w:id="266"/>
      <w:bookmarkEnd w:id="267"/>
      <w:bookmarkEnd w:id="268"/>
      <w:bookmarkEnd w:id="269"/>
      <w:bookmarkEnd w:id="270"/>
      <w:bookmarkEnd w:id="271"/>
    </w:p>
    <w:p>
      <w:pPr>
        <w:ind w:firstLine="480" w:firstLineChars="200"/>
        <w:rPr>
          <w:rFonts w:asciiTheme="minorEastAsia" w:hAnsiTheme="minorEastAsia" w:eastAsiaTheme="minorEastAsia" w:cstheme="minorEastAsia"/>
          <w:color w:val="auto"/>
          <w:sz w:val="24"/>
          <w:szCs w:val="24"/>
          <w:highlight w:val="none"/>
        </w:rPr>
      </w:pPr>
      <w:bookmarkStart w:id="272" w:name="_Toc144974536"/>
      <w:bookmarkStart w:id="273" w:name="_Toc152042344"/>
      <w:bookmarkStart w:id="274" w:name="_Toc229646750"/>
      <w:bookmarkStart w:id="275" w:name="_Toc152045568"/>
      <w:r>
        <w:rPr>
          <w:rFonts w:hint="eastAsia" w:asciiTheme="minorEastAsia" w:hAnsiTheme="minorEastAsia" w:eastAsiaTheme="minorEastAsia" w:cstheme="minorEastAsia"/>
          <w:color w:val="auto"/>
          <w:sz w:val="24"/>
          <w:szCs w:val="24"/>
          <w:highlight w:val="none"/>
        </w:rPr>
        <w:t>除投标人须知前附表规定评标委员会直接确定中标人外，招标人依据评标委员会推荐的中标候选人确定中标人，评标委员会推荐中标候选人的人数及定标方式见投标人须知前附表。</w:t>
      </w:r>
    </w:p>
    <w:p>
      <w:pPr>
        <w:pStyle w:val="45"/>
        <w:spacing w:line="440" w:lineRule="exact"/>
        <w:rPr>
          <w:rFonts w:asciiTheme="minorEastAsia" w:hAnsiTheme="minorEastAsia" w:eastAsiaTheme="minorEastAsia" w:cstheme="minorEastAsia"/>
          <w:b/>
          <w:color w:val="auto"/>
          <w:szCs w:val="24"/>
          <w:highlight w:val="none"/>
        </w:rPr>
      </w:pPr>
      <w:bookmarkStart w:id="276" w:name="_Toc32437"/>
      <w:bookmarkStart w:id="277" w:name="_Toc392345946"/>
      <w:r>
        <w:rPr>
          <w:rFonts w:hint="eastAsia" w:asciiTheme="minorEastAsia" w:hAnsiTheme="minorEastAsia" w:eastAsiaTheme="minorEastAsia" w:cstheme="minorEastAsia"/>
          <w:b/>
          <w:color w:val="auto"/>
          <w:szCs w:val="24"/>
          <w:highlight w:val="none"/>
        </w:rPr>
        <w:t>7.2中标公示</w:t>
      </w:r>
      <w:bookmarkEnd w:id="272"/>
      <w:bookmarkEnd w:id="273"/>
      <w:bookmarkEnd w:id="274"/>
      <w:bookmarkEnd w:id="275"/>
      <w:bookmarkEnd w:id="276"/>
      <w:bookmarkEnd w:id="277"/>
    </w:p>
    <w:p>
      <w:pPr>
        <w:ind w:firstLine="480" w:firstLineChars="200"/>
        <w:rPr>
          <w:rFonts w:asciiTheme="minorEastAsia" w:hAnsiTheme="minorEastAsia" w:eastAsiaTheme="minorEastAsia" w:cstheme="minorEastAsia"/>
          <w:color w:val="auto"/>
          <w:sz w:val="24"/>
          <w:szCs w:val="24"/>
          <w:highlight w:val="none"/>
        </w:rPr>
      </w:pPr>
      <w:bookmarkStart w:id="278" w:name="_Toc152042345"/>
      <w:bookmarkStart w:id="279" w:name="_Toc229646751"/>
      <w:bookmarkStart w:id="280" w:name="_Toc144974537"/>
      <w:bookmarkStart w:id="281" w:name="_Toc152045569"/>
      <w:r>
        <w:rPr>
          <w:rFonts w:hint="eastAsia" w:asciiTheme="minorEastAsia" w:hAnsiTheme="minorEastAsia" w:eastAsiaTheme="minorEastAsia" w:cstheme="minorEastAsia"/>
          <w:color w:val="auto"/>
          <w:sz w:val="24"/>
          <w:szCs w:val="24"/>
          <w:highlight w:val="none"/>
        </w:rPr>
        <w:t>招标人自确定中标候选人之日起，应在与发布招标公告或资格预审公告一致的媒介上发布中标公示 ，公示期为3个工作日。</w:t>
      </w:r>
    </w:p>
    <w:bookmarkEnd w:id="278"/>
    <w:bookmarkEnd w:id="279"/>
    <w:bookmarkEnd w:id="280"/>
    <w:bookmarkEnd w:id="281"/>
    <w:p>
      <w:pPr>
        <w:pStyle w:val="45"/>
        <w:spacing w:line="440" w:lineRule="exact"/>
        <w:rPr>
          <w:rFonts w:asciiTheme="minorEastAsia" w:hAnsiTheme="minorEastAsia" w:eastAsiaTheme="minorEastAsia" w:cstheme="minorEastAsia"/>
          <w:b/>
          <w:color w:val="auto"/>
          <w:szCs w:val="24"/>
          <w:highlight w:val="none"/>
        </w:rPr>
      </w:pPr>
      <w:bookmarkStart w:id="282" w:name="_Toc179632586"/>
      <w:bookmarkStart w:id="283" w:name="_Toc246996955"/>
      <w:bookmarkStart w:id="284" w:name="_Toc296602458"/>
      <w:bookmarkStart w:id="285" w:name="_Toc4618"/>
      <w:bookmarkStart w:id="286" w:name="_Toc246996212"/>
      <w:bookmarkStart w:id="287" w:name="_Toc392345947"/>
      <w:bookmarkStart w:id="288" w:name="_Toc247085726"/>
      <w:r>
        <w:rPr>
          <w:rFonts w:hint="eastAsia" w:asciiTheme="minorEastAsia" w:hAnsiTheme="minorEastAsia" w:eastAsiaTheme="minorEastAsia" w:cstheme="minorEastAsia"/>
          <w:b/>
          <w:color w:val="auto"/>
          <w:szCs w:val="24"/>
          <w:highlight w:val="none"/>
        </w:rPr>
        <w:t>7.3 中标通知</w:t>
      </w:r>
      <w:bookmarkEnd w:id="282"/>
      <w:bookmarkEnd w:id="283"/>
      <w:bookmarkEnd w:id="284"/>
      <w:bookmarkEnd w:id="285"/>
      <w:bookmarkEnd w:id="286"/>
      <w:bookmarkEnd w:id="287"/>
      <w:bookmarkEnd w:id="288"/>
    </w:p>
    <w:p>
      <w:pPr>
        <w:pStyle w:val="11"/>
        <w:ind w:firstLine="480"/>
        <w:rPr>
          <w:rFonts w:asciiTheme="minorEastAsia" w:hAnsiTheme="minorEastAsia" w:eastAsiaTheme="minorEastAsia" w:cstheme="minorEastAsia"/>
          <w:color w:val="auto"/>
          <w:sz w:val="24"/>
          <w:szCs w:val="24"/>
          <w:highlight w:val="none"/>
        </w:rPr>
      </w:pPr>
      <w:bookmarkStart w:id="289" w:name="_Toc247085727"/>
      <w:bookmarkStart w:id="290" w:name="_Toc246996213"/>
      <w:bookmarkStart w:id="291" w:name="_Toc179632587"/>
      <w:bookmarkStart w:id="292" w:name="_Toc296602459"/>
      <w:bookmarkStart w:id="293" w:name="_Toc392345948"/>
      <w:bookmarkStart w:id="294" w:name="_Toc246996956"/>
      <w:r>
        <w:rPr>
          <w:rFonts w:hint="eastAsia" w:asciiTheme="minorEastAsia" w:hAnsiTheme="minorEastAsia" w:eastAsiaTheme="minorEastAsia" w:cstheme="minorEastAsia"/>
          <w:color w:val="auto"/>
          <w:sz w:val="24"/>
          <w:szCs w:val="24"/>
          <w:highlight w:val="none"/>
        </w:rPr>
        <w:t>7.3.1中标人确定后，招标人将在投标有效期内以书面形式向中标人发出中标通知书。</w:t>
      </w:r>
    </w:p>
    <w:p>
      <w:pPr>
        <w:pStyle w:val="11"/>
        <w:ind w:firstLine="48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7.3.2招标人将在发出中标通知书的同时，将中标结果以书面形式通知所有未中标的投标人。</w:t>
      </w:r>
    </w:p>
    <w:p>
      <w:pPr>
        <w:pStyle w:val="45"/>
        <w:spacing w:line="440" w:lineRule="exact"/>
        <w:rPr>
          <w:rFonts w:asciiTheme="minorEastAsia" w:hAnsiTheme="minorEastAsia" w:eastAsiaTheme="minorEastAsia" w:cstheme="minorEastAsia"/>
          <w:b/>
          <w:color w:val="auto"/>
          <w:szCs w:val="24"/>
          <w:highlight w:val="none"/>
        </w:rPr>
      </w:pPr>
      <w:bookmarkStart w:id="295" w:name="_Toc30125"/>
      <w:r>
        <w:rPr>
          <w:rFonts w:hint="eastAsia" w:asciiTheme="minorEastAsia" w:hAnsiTheme="minorEastAsia" w:eastAsiaTheme="minorEastAsia" w:cstheme="minorEastAsia"/>
          <w:b/>
          <w:color w:val="auto"/>
          <w:szCs w:val="24"/>
          <w:highlight w:val="none"/>
        </w:rPr>
        <w:t>7.4 履约担保</w:t>
      </w:r>
      <w:bookmarkEnd w:id="289"/>
      <w:bookmarkEnd w:id="290"/>
      <w:bookmarkEnd w:id="291"/>
      <w:bookmarkEnd w:id="292"/>
      <w:bookmarkEnd w:id="293"/>
      <w:bookmarkEnd w:id="294"/>
      <w:bookmarkEnd w:id="295"/>
    </w:p>
    <w:p>
      <w:pPr>
        <w:ind w:firstLine="480" w:firstLineChars="200"/>
        <w:rPr>
          <w:rFonts w:asciiTheme="minorEastAsia" w:hAnsiTheme="minorEastAsia" w:eastAsiaTheme="minorEastAsia" w:cstheme="minorEastAsia"/>
          <w:color w:val="auto"/>
          <w:sz w:val="24"/>
          <w:szCs w:val="24"/>
          <w:highlight w:val="none"/>
        </w:rPr>
      </w:pPr>
      <w:bookmarkStart w:id="296" w:name="_Toc152042346"/>
      <w:bookmarkStart w:id="297" w:name="_Toc247085728"/>
      <w:bookmarkStart w:id="298" w:name="_Toc246996214"/>
      <w:bookmarkStart w:id="299" w:name="_Toc246996957"/>
      <w:bookmarkStart w:id="300" w:name="_Toc179632588"/>
      <w:bookmarkStart w:id="301" w:name="_Toc296602460"/>
      <w:bookmarkStart w:id="302" w:name="_Toc152045570"/>
      <w:bookmarkStart w:id="303" w:name="_Toc144974538"/>
      <w:r>
        <w:rPr>
          <w:rFonts w:hint="eastAsia" w:asciiTheme="minorEastAsia" w:hAnsiTheme="minorEastAsia" w:eastAsiaTheme="minorEastAsia" w:cstheme="minorEastAsia"/>
          <w:color w:val="auto"/>
          <w:sz w:val="24"/>
          <w:szCs w:val="24"/>
          <w:highlight w:val="none"/>
        </w:rPr>
        <w:t>7.4.1在签订合同前，中标人应按投标人须知前附表规定的金额、担保形式和招标文件第四章“合同条款及格式”规定的履约担保格式向招标人提交履约担保。</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7.4.2 中标人不能按本章第7.4.1项要求提交履约担保的，视为放弃中标，其投标保证金不予退还，给招标人造成的损失超过投标保证金数额的，中标人还应当对超过部分予以赔偿。</w:t>
      </w:r>
    </w:p>
    <w:p>
      <w:pPr>
        <w:pStyle w:val="45"/>
        <w:spacing w:line="440" w:lineRule="exact"/>
        <w:rPr>
          <w:rFonts w:asciiTheme="minorEastAsia" w:hAnsiTheme="minorEastAsia" w:eastAsiaTheme="minorEastAsia" w:cstheme="minorEastAsia"/>
          <w:b/>
          <w:color w:val="auto"/>
          <w:szCs w:val="24"/>
          <w:highlight w:val="none"/>
        </w:rPr>
      </w:pPr>
      <w:bookmarkStart w:id="304" w:name="_Toc32528"/>
      <w:bookmarkStart w:id="305" w:name="_Toc392345949"/>
      <w:r>
        <w:rPr>
          <w:rFonts w:hint="eastAsia" w:asciiTheme="minorEastAsia" w:hAnsiTheme="minorEastAsia" w:eastAsiaTheme="minorEastAsia" w:cstheme="minorEastAsia"/>
          <w:b/>
          <w:color w:val="auto"/>
          <w:szCs w:val="24"/>
          <w:highlight w:val="none"/>
        </w:rPr>
        <w:t>7.5 签订合同</w:t>
      </w:r>
      <w:bookmarkEnd w:id="296"/>
      <w:bookmarkEnd w:id="297"/>
      <w:bookmarkEnd w:id="298"/>
      <w:bookmarkEnd w:id="299"/>
      <w:bookmarkEnd w:id="300"/>
      <w:bookmarkEnd w:id="301"/>
      <w:bookmarkEnd w:id="302"/>
      <w:bookmarkEnd w:id="303"/>
      <w:bookmarkEnd w:id="304"/>
      <w:bookmarkEnd w:id="305"/>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7.5.1招标人和中标人应在中标通知书规定的时间内，根据招标文件和中标人的投标文件订立书面合同。中标人无正当理由拒签合同的，招标人取消其中标资格，其投标保证金不予退还；给招标人造成的损失超过投标保证金数额的，中标人还应当对超过部分予以赔偿。</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7.5.2 发出中标通知书后，招标人无正当理由拒签合同的，招标人向中标人退还投标保证金；给中标人造成损失的，还应当赔偿损失。</w:t>
      </w:r>
    </w:p>
    <w:p>
      <w:pPr>
        <w:pStyle w:val="44"/>
        <w:spacing w:line="440" w:lineRule="exact"/>
        <w:rPr>
          <w:rFonts w:asciiTheme="minorEastAsia" w:hAnsiTheme="minorEastAsia" w:eastAsiaTheme="minorEastAsia" w:cstheme="minorEastAsia"/>
          <w:color w:val="auto"/>
          <w:sz w:val="24"/>
          <w:szCs w:val="24"/>
          <w:highlight w:val="none"/>
        </w:rPr>
      </w:pPr>
      <w:bookmarkStart w:id="306" w:name="_Toc152045571"/>
      <w:bookmarkStart w:id="307" w:name="_Toc323711786"/>
      <w:bookmarkStart w:id="308" w:name="_Toc152042347"/>
      <w:bookmarkStart w:id="309" w:name="_Toc245036638"/>
      <w:bookmarkStart w:id="310" w:name="_Toc24179"/>
      <w:bookmarkStart w:id="311" w:name="_Toc392345950"/>
      <w:bookmarkStart w:id="312" w:name="_Toc144974539"/>
      <w:r>
        <w:rPr>
          <w:rFonts w:hint="eastAsia" w:asciiTheme="minorEastAsia" w:hAnsiTheme="minorEastAsia" w:eastAsiaTheme="minorEastAsia" w:cstheme="minorEastAsia"/>
          <w:color w:val="auto"/>
          <w:sz w:val="24"/>
          <w:szCs w:val="24"/>
          <w:highlight w:val="none"/>
        </w:rPr>
        <w:t>8. 重新招标和不再招标</w:t>
      </w:r>
      <w:bookmarkEnd w:id="306"/>
      <w:bookmarkEnd w:id="307"/>
      <w:bookmarkEnd w:id="308"/>
      <w:bookmarkEnd w:id="309"/>
      <w:bookmarkEnd w:id="310"/>
      <w:bookmarkEnd w:id="311"/>
      <w:bookmarkEnd w:id="312"/>
    </w:p>
    <w:p>
      <w:pPr>
        <w:pStyle w:val="45"/>
        <w:spacing w:line="440" w:lineRule="exact"/>
        <w:rPr>
          <w:rFonts w:asciiTheme="minorEastAsia" w:hAnsiTheme="minorEastAsia" w:eastAsiaTheme="minorEastAsia" w:cstheme="minorEastAsia"/>
          <w:b/>
          <w:color w:val="auto"/>
          <w:szCs w:val="24"/>
          <w:highlight w:val="none"/>
        </w:rPr>
      </w:pPr>
      <w:bookmarkStart w:id="313" w:name="_Toc392345951"/>
      <w:bookmarkStart w:id="314" w:name="_Toc245036639"/>
      <w:bookmarkStart w:id="315" w:name="_Toc322615435"/>
      <w:bookmarkStart w:id="316" w:name="_Toc17490"/>
      <w:bookmarkStart w:id="317" w:name="_Toc144974540"/>
      <w:bookmarkStart w:id="318" w:name="_Toc152042348"/>
      <w:bookmarkStart w:id="319" w:name="_Toc319407873"/>
      <w:bookmarkStart w:id="320" w:name="_Toc319408108"/>
      <w:bookmarkStart w:id="321" w:name="_Toc323711787"/>
      <w:bookmarkStart w:id="322" w:name="_Toc152045572"/>
      <w:r>
        <w:rPr>
          <w:rFonts w:hint="eastAsia" w:asciiTheme="minorEastAsia" w:hAnsiTheme="minorEastAsia" w:eastAsiaTheme="minorEastAsia" w:cstheme="minorEastAsia"/>
          <w:b/>
          <w:color w:val="auto"/>
          <w:szCs w:val="24"/>
          <w:highlight w:val="none"/>
        </w:rPr>
        <w:t>8.1 重新招标</w:t>
      </w:r>
      <w:bookmarkEnd w:id="313"/>
      <w:bookmarkEnd w:id="314"/>
      <w:bookmarkEnd w:id="315"/>
      <w:bookmarkEnd w:id="316"/>
      <w:bookmarkEnd w:id="317"/>
      <w:bookmarkEnd w:id="318"/>
      <w:bookmarkEnd w:id="319"/>
      <w:bookmarkEnd w:id="320"/>
      <w:bookmarkEnd w:id="321"/>
      <w:bookmarkEnd w:id="322"/>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有下列情形之一的，招标人将重新招标：</w:t>
      </w:r>
    </w:p>
    <w:p>
      <w:pPr>
        <w:ind w:firstLine="410" w:firstLineChars="171"/>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（1）投标截止时间止，投标人少于3个的；</w:t>
      </w:r>
    </w:p>
    <w:p>
      <w:pPr>
        <w:ind w:firstLine="410" w:firstLineChars="171"/>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（2）经评标委员会评审后确定的有效投标少于3个的。</w:t>
      </w:r>
    </w:p>
    <w:p>
      <w:pPr>
        <w:pStyle w:val="45"/>
        <w:spacing w:line="440" w:lineRule="exact"/>
        <w:rPr>
          <w:rFonts w:asciiTheme="minorEastAsia" w:hAnsiTheme="minorEastAsia" w:eastAsiaTheme="minorEastAsia" w:cstheme="minorEastAsia"/>
          <w:b/>
          <w:color w:val="auto"/>
          <w:szCs w:val="24"/>
          <w:highlight w:val="none"/>
        </w:rPr>
      </w:pPr>
      <w:bookmarkStart w:id="323" w:name="_Toc152042349"/>
      <w:bookmarkStart w:id="324" w:name="_Toc392345952"/>
      <w:bookmarkStart w:id="325" w:name="_Toc319407874"/>
      <w:bookmarkStart w:id="326" w:name="_Toc25234"/>
      <w:bookmarkStart w:id="327" w:name="_Toc144974541"/>
      <w:bookmarkStart w:id="328" w:name="_Toc245036640"/>
      <w:bookmarkStart w:id="329" w:name="_Toc319408109"/>
      <w:bookmarkStart w:id="330" w:name="_Toc152045573"/>
      <w:bookmarkStart w:id="331" w:name="_Toc323711788"/>
      <w:bookmarkStart w:id="332" w:name="_Toc322615436"/>
      <w:r>
        <w:rPr>
          <w:rFonts w:hint="eastAsia" w:asciiTheme="minorEastAsia" w:hAnsiTheme="minorEastAsia" w:eastAsiaTheme="minorEastAsia" w:cstheme="minorEastAsia"/>
          <w:b/>
          <w:color w:val="auto"/>
          <w:szCs w:val="24"/>
          <w:highlight w:val="none"/>
        </w:rPr>
        <w:t>8.2 不再招标</w:t>
      </w:r>
      <w:bookmarkEnd w:id="323"/>
      <w:bookmarkEnd w:id="324"/>
      <w:bookmarkEnd w:id="325"/>
      <w:bookmarkEnd w:id="326"/>
      <w:bookmarkEnd w:id="327"/>
      <w:bookmarkEnd w:id="328"/>
      <w:bookmarkEnd w:id="329"/>
      <w:bookmarkEnd w:id="330"/>
      <w:bookmarkEnd w:id="331"/>
      <w:bookmarkEnd w:id="332"/>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重新招标后投标人仍少于3个的，经原审批或核准部门批准后不再进行招标。</w:t>
      </w:r>
    </w:p>
    <w:p>
      <w:pPr>
        <w:pStyle w:val="44"/>
        <w:spacing w:line="440" w:lineRule="exact"/>
        <w:rPr>
          <w:rFonts w:asciiTheme="minorEastAsia" w:hAnsiTheme="minorEastAsia" w:eastAsiaTheme="minorEastAsia" w:cstheme="minorEastAsia"/>
          <w:color w:val="auto"/>
          <w:sz w:val="24"/>
          <w:szCs w:val="24"/>
          <w:highlight w:val="none"/>
        </w:rPr>
      </w:pPr>
      <w:bookmarkStart w:id="333" w:name="_Toc152042350"/>
      <w:bookmarkStart w:id="334" w:name="_Toc17513"/>
      <w:bookmarkStart w:id="335" w:name="_Toc323711789"/>
      <w:bookmarkStart w:id="336" w:name="_Toc152045574"/>
      <w:bookmarkStart w:id="337" w:name="_Toc144974542"/>
      <w:bookmarkStart w:id="338" w:name="_Toc392345953"/>
      <w:bookmarkStart w:id="339" w:name="_Toc245036641"/>
      <w:r>
        <w:rPr>
          <w:rFonts w:hint="eastAsia" w:asciiTheme="minorEastAsia" w:hAnsiTheme="minorEastAsia" w:eastAsiaTheme="minorEastAsia" w:cstheme="minorEastAsia"/>
          <w:color w:val="auto"/>
          <w:sz w:val="24"/>
          <w:szCs w:val="24"/>
          <w:highlight w:val="none"/>
        </w:rPr>
        <w:t>9. 纪律和监督</w:t>
      </w:r>
      <w:bookmarkEnd w:id="333"/>
      <w:bookmarkEnd w:id="334"/>
      <w:bookmarkEnd w:id="335"/>
      <w:bookmarkEnd w:id="336"/>
      <w:bookmarkEnd w:id="337"/>
      <w:bookmarkEnd w:id="338"/>
      <w:bookmarkEnd w:id="339"/>
    </w:p>
    <w:p>
      <w:pPr>
        <w:pStyle w:val="45"/>
        <w:spacing w:line="440" w:lineRule="exact"/>
        <w:rPr>
          <w:rFonts w:asciiTheme="minorEastAsia" w:hAnsiTheme="minorEastAsia" w:eastAsiaTheme="minorEastAsia" w:cstheme="minorEastAsia"/>
          <w:b/>
          <w:color w:val="auto"/>
          <w:szCs w:val="24"/>
          <w:highlight w:val="none"/>
        </w:rPr>
      </w:pPr>
      <w:bookmarkStart w:id="340" w:name="_Toc392345954"/>
      <w:bookmarkStart w:id="341" w:name="_Toc144974543"/>
      <w:bookmarkStart w:id="342" w:name="_Toc245036642"/>
      <w:bookmarkStart w:id="343" w:name="_Toc319408111"/>
      <w:bookmarkStart w:id="344" w:name="_Toc319407876"/>
      <w:bookmarkStart w:id="345" w:name="_Toc152042351"/>
      <w:bookmarkStart w:id="346" w:name="_Toc9358"/>
      <w:bookmarkStart w:id="347" w:name="_Toc322615438"/>
      <w:bookmarkStart w:id="348" w:name="_Toc152045575"/>
      <w:bookmarkStart w:id="349" w:name="_Toc323711790"/>
      <w:r>
        <w:rPr>
          <w:rFonts w:hint="eastAsia" w:asciiTheme="minorEastAsia" w:hAnsiTheme="minorEastAsia" w:eastAsiaTheme="minorEastAsia" w:cstheme="minorEastAsia"/>
          <w:b/>
          <w:color w:val="auto"/>
          <w:szCs w:val="24"/>
          <w:highlight w:val="none"/>
        </w:rPr>
        <w:t>9.1 对招标人的纪律要求</w:t>
      </w:r>
      <w:bookmarkEnd w:id="340"/>
      <w:bookmarkEnd w:id="341"/>
      <w:bookmarkEnd w:id="342"/>
      <w:bookmarkEnd w:id="343"/>
      <w:bookmarkEnd w:id="344"/>
      <w:bookmarkEnd w:id="345"/>
      <w:bookmarkEnd w:id="346"/>
      <w:bookmarkEnd w:id="347"/>
      <w:bookmarkEnd w:id="348"/>
      <w:bookmarkEnd w:id="349"/>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招标人不得泄漏招标投标活动中应当保密的情况和资料，不得与投标人串通损害国家利益、社会公共利益或者他人合法权益。</w:t>
      </w:r>
    </w:p>
    <w:p>
      <w:pPr>
        <w:pStyle w:val="45"/>
        <w:spacing w:line="440" w:lineRule="exact"/>
        <w:rPr>
          <w:rFonts w:asciiTheme="minorEastAsia" w:hAnsiTheme="minorEastAsia" w:eastAsiaTheme="minorEastAsia" w:cstheme="minorEastAsia"/>
          <w:b/>
          <w:color w:val="auto"/>
          <w:szCs w:val="24"/>
          <w:highlight w:val="none"/>
        </w:rPr>
      </w:pPr>
      <w:bookmarkStart w:id="350" w:name="_Toc319407877"/>
      <w:bookmarkStart w:id="351" w:name="_Toc152045576"/>
      <w:bookmarkStart w:id="352" w:name="_Toc214"/>
      <w:bookmarkStart w:id="353" w:name="_Toc144974544"/>
      <w:bookmarkStart w:id="354" w:name="_Toc245036643"/>
      <w:bookmarkStart w:id="355" w:name="_Toc392345955"/>
      <w:bookmarkStart w:id="356" w:name="_Toc322615439"/>
      <w:bookmarkStart w:id="357" w:name="_Toc319408112"/>
      <w:bookmarkStart w:id="358" w:name="_Toc323711791"/>
      <w:bookmarkStart w:id="359" w:name="_Toc152042352"/>
      <w:r>
        <w:rPr>
          <w:rFonts w:hint="eastAsia" w:asciiTheme="minorEastAsia" w:hAnsiTheme="minorEastAsia" w:eastAsiaTheme="minorEastAsia" w:cstheme="minorEastAsia"/>
          <w:b/>
          <w:color w:val="auto"/>
          <w:szCs w:val="24"/>
          <w:highlight w:val="none"/>
        </w:rPr>
        <w:t>9.2 对投标人的纪律要求</w:t>
      </w:r>
      <w:bookmarkEnd w:id="350"/>
      <w:bookmarkEnd w:id="351"/>
      <w:bookmarkEnd w:id="352"/>
      <w:bookmarkEnd w:id="353"/>
      <w:bookmarkEnd w:id="354"/>
      <w:bookmarkEnd w:id="355"/>
      <w:bookmarkEnd w:id="356"/>
      <w:bookmarkEnd w:id="357"/>
      <w:bookmarkEnd w:id="358"/>
      <w:bookmarkEnd w:id="359"/>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投标人不得相互串通投标或者与招标人串通投标，不得向招标人或者评标委员会成员行贿谋取中标，不得以他人名义投标或者以其他方式弄虚作假骗取中标；投标人不得以任何方式干扰、影响评标工作。</w:t>
      </w:r>
    </w:p>
    <w:p>
      <w:pPr>
        <w:pStyle w:val="45"/>
        <w:spacing w:line="440" w:lineRule="exact"/>
        <w:rPr>
          <w:rFonts w:asciiTheme="minorEastAsia" w:hAnsiTheme="minorEastAsia" w:eastAsiaTheme="minorEastAsia" w:cstheme="minorEastAsia"/>
          <w:b/>
          <w:color w:val="auto"/>
          <w:szCs w:val="24"/>
          <w:highlight w:val="none"/>
        </w:rPr>
      </w:pPr>
      <w:bookmarkStart w:id="360" w:name="_Toc392345956"/>
      <w:bookmarkStart w:id="361" w:name="_Toc323711792"/>
      <w:bookmarkStart w:id="362" w:name="_Toc3266"/>
      <w:bookmarkStart w:id="363" w:name="_Toc245036644"/>
      <w:bookmarkStart w:id="364" w:name="_Toc322615440"/>
      <w:bookmarkStart w:id="365" w:name="_Toc319408113"/>
      <w:bookmarkStart w:id="366" w:name="_Toc319407878"/>
      <w:bookmarkStart w:id="367" w:name="_Toc152042353"/>
      <w:bookmarkStart w:id="368" w:name="_Toc152045577"/>
      <w:bookmarkStart w:id="369" w:name="_Toc144974545"/>
      <w:r>
        <w:rPr>
          <w:rFonts w:hint="eastAsia" w:asciiTheme="minorEastAsia" w:hAnsiTheme="minorEastAsia" w:eastAsiaTheme="minorEastAsia" w:cstheme="minorEastAsia"/>
          <w:b/>
          <w:color w:val="auto"/>
          <w:szCs w:val="24"/>
          <w:highlight w:val="none"/>
        </w:rPr>
        <w:t>9.3 对评标委员会成员的纪律要求</w:t>
      </w:r>
      <w:bookmarkEnd w:id="360"/>
      <w:bookmarkEnd w:id="361"/>
      <w:bookmarkEnd w:id="362"/>
      <w:bookmarkEnd w:id="363"/>
      <w:bookmarkEnd w:id="364"/>
      <w:bookmarkEnd w:id="365"/>
      <w:bookmarkEnd w:id="366"/>
      <w:bookmarkEnd w:id="367"/>
      <w:bookmarkEnd w:id="368"/>
      <w:bookmarkEnd w:id="369"/>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评标委员会成员不得收受他人的财物或者其他好处，不得向他人透漏对投标文件的评审和比较、中标候选人的推荐情况以及评标有关的其他情况。在评标活动中，评标委员会成员不得擅离职守，影响评标程序正常进行，不得使用第三章“评标办法”没有规定的评审因素和标准进行评标。</w:t>
      </w:r>
    </w:p>
    <w:p>
      <w:pPr>
        <w:pStyle w:val="45"/>
        <w:spacing w:line="440" w:lineRule="exact"/>
        <w:rPr>
          <w:rFonts w:asciiTheme="minorEastAsia" w:hAnsiTheme="minorEastAsia" w:eastAsiaTheme="minorEastAsia" w:cstheme="minorEastAsia"/>
          <w:b/>
          <w:color w:val="auto"/>
          <w:szCs w:val="24"/>
          <w:highlight w:val="none"/>
        </w:rPr>
      </w:pPr>
      <w:bookmarkStart w:id="370" w:name="_Toc322615441"/>
      <w:bookmarkStart w:id="371" w:name="_Toc152042354"/>
      <w:bookmarkStart w:id="372" w:name="_Toc152045578"/>
      <w:bookmarkStart w:id="373" w:name="_Toc245036645"/>
      <w:bookmarkStart w:id="374" w:name="_Toc319407879"/>
      <w:bookmarkStart w:id="375" w:name="_Toc392345957"/>
      <w:bookmarkStart w:id="376" w:name="_Toc319408114"/>
      <w:bookmarkStart w:id="377" w:name="_Toc480"/>
      <w:bookmarkStart w:id="378" w:name="_Toc323711793"/>
      <w:bookmarkStart w:id="379" w:name="_Toc144974546"/>
      <w:r>
        <w:rPr>
          <w:rFonts w:hint="eastAsia" w:asciiTheme="minorEastAsia" w:hAnsiTheme="minorEastAsia" w:eastAsiaTheme="minorEastAsia" w:cstheme="minorEastAsia"/>
          <w:b/>
          <w:color w:val="auto"/>
          <w:szCs w:val="24"/>
          <w:highlight w:val="none"/>
        </w:rPr>
        <w:t>9.4 对与评标活动有关的工作人员的纪律要求</w:t>
      </w:r>
      <w:bookmarkEnd w:id="370"/>
      <w:bookmarkEnd w:id="371"/>
      <w:bookmarkEnd w:id="372"/>
      <w:bookmarkEnd w:id="373"/>
      <w:bookmarkEnd w:id="374"/>
      <w:bookmarkEnd w:id="375"/>
      <w:bookmarkEnd w:id="376"/>
      <w:bookmarkEnd w:id="377"/>
      <w:bookmarkEnd w:id="378"/>
    </w:p>
    <w:p>
      <w:pPr>
        <w:ind w:firstLine="480" w:firstLineChars="200"/>
        <w:rPr>
          <w:rFonts w:asciiTheme="minorEastAsia" w:hAnsiTheme="minorEastAsia" w:eastAsiaTheme="minorEastAsia" w:cstheme="minorEastAsia"/>
          <w:color w:val="auto"/>
          <w:sz w:val="24"/>
          <w:szCs w:val="24"/>
          <w:highlight w:val="none"/>
        </w:rPr>
      </w:pPr>
      <w:bookmarkStart w:id="380" w:name="_Toc152042355"/>
      <w:r>
        <w:rPr>
          <w:rFonts w:hint="eastAsia" w:asciiTheme="minorEastAsia" w:hAnsiTheme="minorEastAsia" w:eastAsiaTheme="minorEastAsia" w:cstheme="minorEastAsia"/>
          <w:color w:val="auto"/>
          <w:sz w:val="24"/>
          <w:szCs w:val="24"/>
          <w:highlight w:val="none"/>
        </w:rPr>
        <w:t>与评标活动有关的工作人员不得收受他人的财物或者其他好处，不得向他人透漏对投标文件的评审和比较、中标候选人的推荐情况以及评标有关的其他情况。在评标活动中，与评标活动有关的工作人员不得擅离职守，影响评标程序正常进行。</w:t>
      </w:r>
      <w:bookmarkEnd w:id="380"/>
    </w:p>
    <w:p>
      <w:pPr>
        <w:pStyle w:val="45"/>
        <w:spacing w:line="440" w:lineRule="exact"/>
        <w:rPr>
          <w:rFonts w:asciiTheme="minorEastAsia" w:hAnsiTheme="minorEastAsia" w:eastAsiaTheme="minorEastAsia" w:cstheme="minorEastAsia"/>
          <w:b/>
          <w:color w:val="auto"/>
          <w:szCs w:val="24"/>
          <w:highlight w:val="none"/>
        </w:rPr>
      </w:pPr>
      <w:bookmarkStart w:id="381" w:name="_Toc323711794"/>
      <w:bookmarkStart w:id="382" w:name="_Toc322615442"/>
      <w:bookmarkStart w:id="383" w:name="_Toc245036646"/>
      <w:bookmarkStart w:id="384" w:name="_Toc392345958"/>
      <w:bookmarkStart w:id="385" w:name="_Toc152045579"/>
      <w:bookmarkStart w:id="386" w:name="_Toc319407880"/>
      <w:bookmarkStart w:id="387" w:name="_Toc319408115"/>
      <w:bookmarkStart w:id="388" w:name="_Toc152042356"/>
      <w:bookmarkStart w:id="389" w:name="_Toc9812"/>
      <w:r>
        <w:rPr>
          <w:rFonts w:hint="eastAsia" w:asciiTheme="minorEastAsia" w:hAnsiTheme="minorEastAsia" w:eastAsiaTheme="minorEastAsia" w:cstheme="minorEastAsia"/>
          <w:b/>
          <w:color w:val="auto"/>
          <w:szCs w:val="24"/>
          <w:highlight w:val="none"/>
        </w:rPr>
        <w:t>9.5</w:t>
      </w:r>
      <w:bookmarkEnd w:id="379"/>
      <w:bookmarkEnd w:id="381"/>
      <w:bookmarkEnd w:id="382"/>
      <w:bookmarkEnd w:id="383"/>
      <w:bookmarkEnd w:id="384"/>
      <w:bookmarkEnd w:id="385"/>
      <w:bookmarkEnd w:id="386"/>
      <w:bookmarkEnd w:id="387"/>
      <w:bookmarkEnd w:id="388"/>
      <w:bookmarkStart w:id="390" w:name="_Toc246996966"/>
      <w:bookmarkStart w:id="391" w:name="_Toc357955317"/>
      <w:bookmarkStart w:id="392" w:name="_Toc246996223"/>
      <w:bookmarkStart w:id="393" w:name="_Toc179632597"/>
      <w:bookmarkStart w:id="394" w:name="_Toc247085737"/>
      <w:bookmarkStart w:id="395" w:name="_Toc296602466"/>
      <w:bookmarkStart w:id="396" w:name="_Toc144974547"/>
      <w:bookmarkStart w:id="397" w:name="_Toc392345959"/>
      <w:bookmarkStart w:id="398" w:name="_Toc323711795"/>
      <w:bookmarkStart w:id="399" w:name="_Toc152045580"/>
      <w:bookmarkStart w:id="400" w:name="_Toc245036647"/>
      <w:bookmarkStart w:id="401" w:name="_Toc152042357"/>
      <w:r>
        <w:rPr>
          <w:rFonts w:hint="eastAsia" w:asciiTheme="minorEastAsia" w:hAnsiTheme="minorEastAsia" w:eastAsiaTheme="minorEastAsia" w:cstheme="minorEastAsia"/>
          <w:b/>
          <w:color w:val="auto"/>
          <w:szCs w:val="24"/>
          <w:highlight w:val="none"/>
        </w:rPr>
        <w:t>异议与投诉</w:t>
      </w:r>
      <w:bookmarkEnd w:id="389"/>
      <w:bookmarkEnd w:id="390"/>
      <w:bookmarkEnd w:id="391"/>
      <w:bookmarkEnd w:id="392"/>
      <w:bookmarkEnd w:id="393"/>
      <w:bookmarkEnd w:id="394"/>
      <w:bookmarkEnd w:id="395"/>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iCs/>
          <w:color w:val="auto"/>
          <w:sz w:val="24"/>
          <w:szCs w:val="24"/>
          <w:highlight w:val="none"/>
        </w:rPr>
        <w:t>投标人及其他利害关系人由提出异议与投诉的权利，但应遵守国家相关法律法规的规定和本章第10.2条的要求。</w:t>
      </w:r>
    </w:p>
    <w:p>
      <w:pPr>
        <w:pStyle w:val="45"/>
        <w:spacing w:line="440" w:lineRule="exact"/>
        <w:rPr>
          <w:rFonts w:asciiTheme="minorEastAsia" w:hAnsiTheme="minorEastAsia" w:eastAsiaTheme="minorEastAsia" w:cstheme="minorEastAsia"/>
          <w:color w:val="auto"/>
          <w:szCs w:val="24"/>
          <w:highlight w:val="none"/>
        </w:rPr>
      </w:pPr>
      <w:bookmarkStart w:id="402" w:name="_Toc576"/>
      <w:r>
        <w:rPr>
          <w:rFonts w:hint="eastAsia" w:asciiTheme="minorEastAsia" w:hAnsiTheme="minorEastAsia" w:eastAsiaTheme="minorEastAsia" w:cstheme="minorEastAsia"/>
          <w:color w:val="auto"/>
          <w:szCs w:val="24"/>
          <w:highlight w:val="none"/>
        </w:rPr>
        <w:t xml:space="preserve">10. </w:t>
      </w:r>
      <w:bookmarkEnd w:id="396"/>
      <w:bookmarkEnd w:id="397"/>
      <w:bookmarkEnd w:id="398"/>
      <w:bookmarkEnd w:id="399"/>
      <w:bookmarkEnd w:id="400"/>
      <w:bookmarkEnd w:id="401"/>
      <w:r>
        <w:rPr>
          <w:rFonts w:hint="eastAsia" w:asciiTheme="minorEastAsia" w:hAnsiTheme="minorEastAsia" w:eastAsiaTheme="minorEastAsia" w:cstheme="minorEastAsia"/>
          <w:color w:val="auto"/>
          <w:szCs w:val="24"/>
          <w:highlight w:val="none"/>
        </w:rPr>
        <w:t>需要补充的其他内容</w:t>
      </w:r>
      <w:bookmarkEnd w:id="402"/>
    </w:p>
    <w:p>
      <w:pPr>
        <w:ind w:firstLine="480" w:firstLineChars="200"/>
        <w:rPr>
          <w:rFonts w:asciiTheme="minorEastAsia" w:hAnsiTheme="minorEastAsia" w:eastAsiaTheme="minorEastAsia" w:cstheme="minorEastAsia"/>
          <w:color w:val="auto"/>
          <w:sz w:val="24"/>
          <w:szCs w:val="24"/>
          <w:highlight w:val="none"/>
        </w:rPr>
      </w:pPr>
      <w:bookmarkStart w:id="403" w:name="_Toc322615444"/>
      <w:bookmarkStart w:id="404" w:name="_Toc323711796"/>
      <w:r>
        <w:rPr>
          <w:rFonts w:hint="eastAsia" w:asciiTheme="minorEastAsia" w:hAnsiTheme="minorEastAsia" w:eastAsiaTheme="minorEastAsia" w:cstheme="minorEastAsia"/>
          <w:color w:val="auto"/>
          <w:sz w:val="24"/>
          <w:szCs w:val="24"/>
          <w:highlight w:val="none"/>
        </w:rPr>
        <w:t>10.1否决投标的情形</w:t>
      </w:r>
      <w:bookmarkEnd w:id="403"/>
      <w:bookmarkEnd w:id="404"/>
      <w:r>
        <w:rPr>
          <w:rFonts w:hint="eastAsia" w:asciiTheme="minorEastAsia" w:hAnsiTheme="minorEastAsia" w:eastAsiaTheme="minorEastAsia" w:cstheme="minorEastAsia"/>
          <w:color w:val="auto"/>
          <w:sz w:val="24"/>
          <w:szCs w:val="24"/>
          <w:highlight w:val="none"/>
        </w:rPr>
        <w:t>：见投标人须知前附表</w:t>
      </w:r>
    </w:p>
    <w:p>
      <w:pPr>
        <w:ind w:firstLine="480" w:firstLineChars="200"/>
        <w:rPr>
          <w:rFonts w:asciiTheme="minorEastAsia" w:hAnsiTheme="minorEastAsia" w:eastAsiaTheme="minorEastAsia" w:cstheme="minorEastAsia"/>
          <w:color w:val="auto"/>
          <w:sz w:val="24"/>
          <w:szCs w:val="24"/>
          <w:highlight w:val="none"/>
        </w:rPr>
      </w:pPr>
      <w:bookmarkStart w:id="405" w:name="_Toc323711797"/>
      <w:bookmarkStart w:id="406" w:name="_Toc322615445"/>
      <w:r>
        <w:rPr>
          <w:rFonts w:hint="eastAsia" w:asciiTheme="minorEastAsia" w:hAnsiTheme="minorEastAsia" w:eastAsiaTheme="minorEastAsia" w:cstheme="minorEastAsia"/>
          <w:color w:val="auto"/>
          <w:sz w:val="24"/>
          <w:szCs w:val="24"/>
          <w:highlight w:val="none"/>
        </w:rPr>
        <w:t>10.2</w:t>
      </w:r>
      <w:bookmarkEnd w:id="405"/>
      <w:bookmarkEnd w:id="406"/>
      <w:r>
        <w:rPr>
          <w:rFonts w:hint="eastAsia" w:asciiTheme="minorEastAsia" w:hAnsiTheme="minorEastAsia" w:eastAsiaTheme="minorEastAsia" w:cstheme="minorEastAsia"/>
          <w:color w:val="auto"/>
          <w:sz w:val="24"/>
          <w:szCs w:val="24"/>
          <w:highlight w:val="none"/>
        </w:rPr>
        <w:t>异议与投诉：见投标人须知前附表</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10.3定标：见投标人须知前附表</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10.4特别说明：见投标人须知前附表</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br w:type="page"/>
      </w:r>
    </w:p>
    <w:p>
      <w:pPr>
        <w:pStyle w:val="7"/>
        <w:ind w:firstLine="482"/>
        <w:rPr>
          <w:rFonts w:asciiTheme="minorEastAsia" w:hAnsiTheme="minorEastAsia" w:eastAsiaTheme="minorEastAsia" w:cstheme="minorEastAsia"/>
          <w:color w:val="auto"/>
          <w:sz w:val="24"/>
          <w:szCs w:val="24"/>
          <w:highlight w:val="none"/>
        </w:rPr>
      </w:pPr>
      <w:bookmarkStart w:id="407" w:name="_Toc21652"/>
      <w:bookmarkStart w:id="408" w:name="_Toc413527432"/>
      <w:bookmarkStart w:id="409" w:name="_Toc323711800"/>
      <w:bookmarkStart w:id="410" w:name="_Toc184635081"/>
      <w:r>
        <w:rPr>
          <w:rFonts w:hint="eastAsia" w:asciiTheme="minorEastAsia" w:hAnsiTheme="minorEastAsia" w:eastAsiaTheme="minorEastAsia" w:cstheme="minorEastAsia"/>
          <w:color w:val="auto"/>
          <w:sz w:val="24"/>
          <w:szCs w:val="24"/>
          <w:highlight w:val="none"/>
        </w:rPr>
        <w:t>附表一：开标记录表</w:t>
      </w:r>
      <w:bookmarkEnd w:id="407"/>
      <w:r>
        <w:rPr>
          <w:rFonts w:hint="eastAsia" w:asciiTheme="minorEastAsia" w:hAnsiTheme="minorEastAsia" w:eastAsiaTheme="minorEastAsia" w:cstheme="minorEastAsia"/>
          <w:color w:val="auto"/>
          <w:sz w:val="24"/>
          <w:szCs w:val="24"/>
          <w:highlight w:val="none"/>
        </w:rPr>
        <w:t>（略）</w:t>
      </w:r>
    </w:p>
    <w:p>
      <w:pPr>
        <w:pStyle w:val="7"/>
        <w:ind w:firstLine="482"/>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附表二：问题澄清通知</w:t>
      </w:r>
    </w:p>
    <w:p>
      <w:pPr>
        <w:rPr>
          <w:color w:val="auto"/>
          <w:highlight w:val="none"/>
        </w:rPr>
      </w:pPr>
    </w:p>
    <w:p>
      <w:pPr>
        <w:spacing w:line="360" w:lineRule="auto"/>
        <w:ind w:firstLine="482" w:firstLineChars="200"/>
        <w:jc w:val="center"/>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问题澄清通知</w:t>
      </w:r>
    </w:p>
    <w:p>
      <w:pPr>
        <w:spacing w:line="360" w:lineRule="auto"/>
        <w:ind w:firstLine="480" w:firstLineChars="200"/>
        <w:jc w:val="center"/>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color w:val="auto"/>
          <w:sz w:val="24"/>
          <w:szCs w:val="24"/>
          <w:highlight w:val="none"/>
        </w:rPr>
        <w:t>编号：</w:t>
      </w:r>
    </w:p>
    <w:p>
      <w:pPr>
        <w:spacing w:line="360" w:lineRule="auto"/>
        <w:ind w:firstLine="480" w:firstLineChars="200"/>
        <w:rPr>
          <w:rFonts w:asciiTheme="minorEastAsia" w:hAnsiTheme="minorEastAsia" w:eastAsiaTheme="minorEastAsia" w:cstheme="minorEastAsia"/>
          <w:color w:val="auto"/>
          <w:sz w:val="24"/>
          <w:szCs w:val="24"/>
          <w:highlight w:val="none"/>
          <w:u w:val="single"/>
        </w:rPr>
      </w:pPr>
    </w:p>
    <w:p>
      <w:pPr>
        <w:spacing w:line="360" w:lineRule="auto"/>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（投标人名称）: </w:t>
      </w:r>
    </w:p>
    <w:p>
      <w:pPr>
        <w:spacing w:line="360" w:lineRule="auto"/>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（项目名称）招标的评标委员会，对你方的投标文件进行了仔细的审查，现需你方对下列问题以书面形式予以澄清：</w:t>
      </w:r>
    </w:p>
    <w:p>
      <w:pPr>
        <w:spacing w:line="360" w:lineRule="auto"/>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w:t>
      </w:r>
    </w:p>
    <w:p>
      <w:pPr>
        <w:spacing w:line="360" w:lineRule="auto"/>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w:t>
      </w:r>
    </w:p>
    <w:p>
      <w:pPr>
        <w:spacing w:line="360" w:lineRule="auto"/>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w:t>
      </w:r>
    </w:p>
    <w:p>
      <w:pPr>
        <w:spacing w:line="360" w:lineRule="auto"/>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请将上述问题的澄清于</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年</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月</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日</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时前递交至</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（详细地址）或传真至</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（传真号码）。采用传真方式的，应在</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年</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月</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日</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时前将原件递交至</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（详细地址）。</w:t>
      </w:r>
    </w:p>
    <w:p>
      <w:pPr>
        <w:spacing w:line="360" w:lineRule="auto"/>
        <w:ind w:firstLine="5880" w:firstLineChars="2450"/>
        <w:rPr>
          <w:rFonts w:asciiTheme="minorEastAsia" w:hAnsiTheme="minorEastAsia" w:eastAsiaTheme="minorEastAsia" w:cstheme="minorEastAsia"/>
          <w:color w:val="auto"/>
          <w:sz w:val="24"/>
          <w:szCs w:val="24"/>
          <w:highlight w:val="none"/>
        </w:rPr>
      </w:pPr>
    </w:p>
    <w:p>
      <w:pPr>
        <w:spacing w:line="360" w:lineRule="auto"/>
        <w:ind w:firstLine="5880" w:firstLineChars="2450"/>
        <w:rPr>
          <w:rFonts w:asciiTheme="minorEastAsia" w:hAnsiTheme="minorEastAsia" w:eastAsiaTheme="minorEastAsia" w:cstheme="minorEastAsia"/>
          <w:color w:val="auto"/>
          <w:sz w:val="24"/>
          <w:szCs w:val="24"/>
          <w:highlight w:val="none"/>
        </w:rPr>
      </w:pPr>
    </w:p>
    <w:p>
      <w:pPr>
        <w:spacing w:line="360" w:lineRule="auto"/>
        <w:ind w:firstLine="5280" w:firstLineChars="2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评标委员会负责人：</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（签字）</w:t>
      </w:r>
    </w:p>
    <w:p>
      <w:pPr>
        <w:spacing w:line="360" w:lineRule="auto"/>
        <w:ind w:firstLine="210"/>
        <w:rPr>
          <w:rFonts w:asciiTheme="minorEastAsia" w:hAnsiTheme="minorEastAsia" w:eastAsiaTheme="minorEastAsia" w:cstheme="minorEastAsia"/>
          <w:color w:val="auto"/>
          <w:sz w:val="24"/>
          <w:szCs w:val="24"/>
          <w:highlight w:val="none"/>
          <w:u w:val="single"/>
        </w:rPr>
      </w:pPr>
    </w:p>
    <w:p>
      <w:pPr>
        <w:spacing w:line="360" w:lineRule="auto"/>
        <w:ind w:firstLine="6240" w:firstLineChars="26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年</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月</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日</w:t>
      </w:r>
    </w:p>
    <w:p>
      <w:pPr>
        <w:spacing w:line="360" w:lineRule="auto"/>
        <w:ind w:firstLine="6240" w:firstLineChars="2600"/>
        <w:rPr>
          <w:rFonts w:asciiTheme="minorEastAsia" w:hAnsiTheme="minorEastAsia" w:eastAsiaTheme="minorEastAsia" w:cstheme="minorEastAsia"/>
          <w:color w:val="auto"/>
          <w:sz w:val="24"/>
          <w:szCs w:val="24"/>
          <w:highlight w:val="none"/>
        </w:rPr>
        <w:sectPr>
          <w:footerReference r:id="rId4" w:type="default"/>
          <w:pgSz w:w="11905" w:h="16838"/>
          <w:pgMar w:top="1417" w:right="1134" w:bottom="1417" w:left="1134" w:header="680" w:footer="680" w:gutter="0"/>
          <w:cols w:space="0" w:num="1"/>
          <w:docGrid w:linePitch="312" w:charSpace="0"/>
        </w:sectPr>
      </w:pPr>
    </w:p>
    <w:p>
      <w:pPr>
        <w:pStyle w:val="7"/>
        <w:ind w:firstLine="482"/>
        <w:rPr>
          <w:rFonts w:asciiTheme="minorEastAsia" w:hAnsiTheme="minorEastAsia" w:eastAsiaTheme="minorEastAsia" w:cstheme="minorEastAsia"/>
          <w:color w:val="auto"/>
          <w:sz w:val="24"/>
          <w:szCs w:val="24"/>
          <w:highlight w:val="none"/>
        </w:rPr>
      </w:pPr>
      <w:bookmarkStart w:id="411" w:name="_Toc9597"/>
      <w:r>
        <w:rPr>
          <w:rFonts w:hint="eastAsia" w:asciiTheme="minorEastAsia" w:hAnsiTheme="minorEastAsia" w:eastAsiaTheme="minorEastAsia" w:cstheme="minorEastAsia"/>
          <w:color w:val="auto"/>
          <w:sz w:val="24"/>
          <w:szCs w:val="24"/>
          <w:highlight w:val="none"/>
        </w:rPr>
        <w:t>附表三：问题的澄清</w:t>
      </w:r>
      <w:bookmarkEnd w:id="411"/>
    </w:p>
    <w:p>
      <w:pPr>
        <w:spacing w:line="360" w:lineRule="auto"/>
        <w:ind w:firstLine="482" w:firstLineChars="200"/>
        <w:jc w:val="center"/>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问题的澄清</w:t>
      </w:r>
    </w:p>
    <w:p>
      <w:pPr>
        <w:spacing w:line="360" w:lineRule="auto"/>
        <w:ind w:firstLine="5280" w:firstLineChars="2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编号：</w:t>
      </w:r>
    </w:p>
    <w:p>
      <w:pPr>
        <w:spacing w:line="360" w:lineRule="auto"/>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 (项目名称）招标评标委员会：</w:t>
      </w:r>
    </w:p>
    <w:p>
      <w:pPr>
        <w:spacing w:line="360" w:lineRule="auto"/>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问题澄清通知（编号：</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）已收悉，现澄清如下：</w:t>
      </w:r>
    </w:p>
    <w:p>
      <w:pPr>
        <w:spacing w:line="360" w:lineRule="auto"/>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w:t>
      </w:r>
    </w:p>
    <w:p>
      <w:pPr>
        <w:spacing w:line="360" w:lineRule="auto"/>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w:t>
      </w:r>
    </w:p>
    <w:p>
      <w:pPr>
        <w:spacing w:line="360" w:lineRule="auto"/>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w:t>
      </w:r>
    </w:p>
    <w:p>
      <w:pPr>
        <w:spacing w:line="360" w:lineRule="auto"/>
        <w:ind w:firstLine="480" w:firstLineChars="200"/>
        <w:rPr>
          <w:rFonts w:asciiTheme="minorEastAsia" w:hAnsiTheme="minorEastAsia" w:eastAsiaTheme="minorEastAsia" w:cstheme="minorEastAsia"/>
          <w:color w:val="auto"/>
          <w:sz w:val="24"/>
          <w:szCs w:val="24"/>
          <w:highlight w:val="none"/>
        </w:rPr>
      </w:pPr>
    </w:p>
    <w:p>
      <w:pPr>
        <w:spacing w:line="360" w:lineRule="auto"/>
        <w:ind w:firstLine="480" w:firstLineChars="200"/>
        <w:rPr>
          <w:rFonts w:asciiTheme="minorEastAsia" w:hAnsiTheme="minorEastAsia" w:eastAsiaTheme="minorEastAsia" w:cstheme="minorEastAsia"/>
          <w:color w:val="auto"/>
          <w:sz w:val="24"/>
          <w:szCs w:val="24"/>
          <w:highlight w:val="none"/>
        </w:rPr>
      </w:pPr>
    </w:p>
    <w:p>
      <w:pPr>
        <w:spacing w:line="360" w:lineRule="auto"/>
        <w:ind w:firstLine="480" w:firstLineChars="200"/>
        <w:rPr>
          <w:rFonts w:asciiTheme="minorEastAsia" w:hAnsiTheme="minorEastAsia" w:eastAsiaTheme="minorEastAsia" w:cstheme="minorEastAsia"/>
          <w:color w:val="auto"/>
          <w:sz w:val="24"/>
          <w:szCs w:val="24"/>
          <w:highlight w:val="none"/>
        </w:rPr>
      </w:pPr>
    </w:p>
    <w:p>
      <w:pPr>
        <w:spacing w:line="360" w:lineRule="auto"/>
        <w:ind w:firstLine="480" w:firstLineChars="200"/>
        <w:rPr>
          <w:rFonts w:asciiTheme="minorEastAsia" w:hAnsiTheme="minorEastAsia" w:eastAsiaTheme="minorEastAsia" w:cstheme="minorEastAsia"/>
          <w:color w:val="auto"/>
          <w:sz w:val="24"/>
          <w:szCs w:val="24"/>
          <w:highlight w:val="none"/>
        </w:rPr>
      </w:pPr>
    </w:p>
    <w:p>
      <w:pPr>
        <w:spacing w:line="360" w:lineRule="auto"/>
        <w:ind w:firstLine="5400" w:firstLineChars="225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投标人：</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（盖单位公章）</w:t>
      </w:r>
    </w:p>
    <w:p>
      <w:pPr>
        <w:spacing w:line="360" w:lineRule="auto"/>
        <w:ind w:firstLine="480" w:firstLineChars="200"/>
        <w:rPr>
          <w:rFonts w:asciiTheme="minorEastAsia" w:hAnsiTheme="minorEastAsia" w:eastAsiaTheme="minorEastAsia" w:cstheme="minorEastAsia"/>
          <w:color w:val="auto"/>
          <w:sz w:val="24"/>
          <w:szCs w:val="24"/>
          <w:highlight w:val="none"/>
        </w:rPr>
      </w:pPr>
    </w:p>
    <w:p>
      <w:pPr>
        <w:spacing w:line="360" w:lineRule="auto"/>
        <w:ind w:firstLine="4200" w:firstLineChars="175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法定代表人或其委托代理人：</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（签字）</w:t>
      </w:r>
    </w:p>
    <w:p>
      <w:pPr>
        <w:spacing w:line="360" w:lineRule="auto"/>
        <w:ind w:firstLine="5880" w:firstLineChars="2450"/>
        <w:rPr>
          <w:rFonts w:asciiTheme="minorEastAsia" w:hAnsiTheme="minorEastAsia" w:eastAsiaTheme="minorEastAsia" w:cstheme="minorEastAsia"/>
          <w:color w:val="auto"/>
          <w:sz w:val="24"/>
          <w:szCs w:val="24"/>
          <w:highlight w:val="none"/>
          <w:u w:val="single"/>
        </w:rPr>
      </w:pPr>
    </w:p>
    <w:p>
      <w:pPr>
        <w:spacing w:line="360" w:lineRule="auto"/>
        <w:ind w:firstLine="5880" w:firstLineChars="245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年</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月</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日</w:t>
      </w:r>
    </w:p>
    <w:p>
      <w:pPr>
        <w:spacing w:line="360" w:lineRule="auto"/>
        <w:ind w:firstLine="5880" w:firstLineChars="2450"/>
        <w:rPr>
          <w:rFonts w:asciiTheme="minorEastAsia" w:hAnsiTheme="minorEastAsia" w:eastAsiaTheme="minorEastAsia" w:cstheme="minorEastAsia"/>
          <w:color w:val="auto"/>
          <w:sz w:val="24"/>
          <w:szCs w:val="24"/>
          <w:highlight w:val="none"/>
        </w:rPr>
        <w:sectPr>
          <w:pgSz w:w="11905" w:h="16838"/>
          <w:pgMar w:top="1417" w:right="1134" w:bottom="1417" w:left="1134" w:header="680" w:footer="680" w:gutter="0"/>
          <w:cols w:space="0" w:num="1"/>
          <w:docGrid w:linePitch="312" w:charSpace="0"/>
        </w:sectPr>
      </w:pPr>
    </w:p>
    <w:p>
      <w:pPr>
        <w:pStyle w:val="7"/>
        <w:ind w:firstLine="482"/>
        <w:rPr>
          <w:rFonts w:asciiTheme="minorEastAsia" w:hAnsiTheme="minorEastAsia" w:eastAsiaTheme="minorEastAsia" w:cstheme="minorEastAsia"/>
          <w:color w:val="auto"/>
          <w:sz w:val="24"/>
          <w:szCs w:val="24"/>
          <w:highlight w:val="none"/>
        </w:rPr>
      </w:pPr>
      <w:bookmarkStart w:id="412" w:name="_Toc11393"/>
      <w:r>
        <w:rPr>
          <w:rFonts w:hint="eastAsia" w:asciiTheme="minorEastAsia" w:hAnsiTheme="minorEastAsia" w:eastAsiaTheme="minorEastAsia" w:cstheme="minorEastAsia"/>
          <w:color w:val="auto"/>
          <w:sz w:val="24"/>
          <w:szCs w:val="24"/>
          <w:highlight w:val="none"/>
        </w:rPr>
        <w:t>附表四：中标通知书</w:t>
      </w:r>
      <w:bookmarkEnd w:id="412"/>
    </w:p>
    <w:p>
      <w:pPr>
        <w:ind w:firstLine="482" w:firstLineChars="200"/>
        <w:jc w:val="center"/>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中标通知书</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本中标通知书为招标人向中标的投标人发出的告知其中标的书面通知文件，中标结果根据投标人提交的投标文件经评标委员会评审做出。本中标通知书对招标人和中标人具有法律效力，一经发出后，中标人放弃中标项目的应当依法承担法律责任。履约保证金为中标金额的2%，应在合同签订后15日内缴纳。中标具体内容如下：</w:t>
      </w:r>
    </w:p>
    <w:p>
      <w:pPr>
        <w:spacing w:line="360" w:lineRule="auto"/>
        <w:ind w:firstLine="480" w:firstLineChars="200"/>
        <w:rPr>
          <w:rFonts w:asciiTheme="minorEastAsia" w:hAnsiTheme="minorEastAsia" w:eastAsiaTheme="minorEastAsia" w:cstheme="minorEastAsia"/>
          <w:color w:val="auto"/>
          <w:sz w:val="24"/>
          <w:szCs w:val="24"/>
          <w:highlight w:val="none"/>
        </w:rPr>
      </w:pPr>
    </w:p>
    <w:tbl>
      <w:tblPr>
        <w:tblStyle w:val="27"/>
        <w:tblW w:w="1001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08"/>
        <w:gridCol w:w="810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3" w:hRule="atLeast"/>
        </w:trPr>
        <w:tc>
          <w:tcPr>
            <w:tcW w:w="1908" w:type="dxa"/>
            <w:vAlign w:val="center"/>
          </w:tcPr>
          <w:p>
            <w:pPr>
              <w:spacing w:line="360" w:lineRule="auto"/>
              <w:ind w:firstLine="210"/>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招标项目名称</w:t>
            </w:r>
          </w:p>
        </w:tc>
        <w:tc>
          <w:tcPr>
            <w:tcW w:w="8106" w:type="dxa"/>
            <w:vAlign w:val="center"/>
          </w:tcPr>
          <w:p>
            <w:pPr>
              <w:spacing w:line="360" w:lineRule="auto"/>
              <w:ind w:firstLine="210"/>
              <w:jc w:val="center"/>
              <w:rPr>
                <w:rFonts w:asciiTheme="minorEastAsia" w:hAnsiTheme="minorEastAsia" w:eastAsiaTheme="minorEastAsia" w:cstheme="minorEastAsia"/>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3" w:hRule="atLeast"/>
        </w:trPr>
        <w:tc>
          <w:tcPr>
            <w:tcW w:w="1908" w:type="dxa"/>
            <w:vAlign w:val="center"/>
          </w:tcPr>
          <w:p>
            <w:pPr>
              <w:spacing w:line="360" w:lineRule="auto"/>
              <w:ind w:firstLine="210"/>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招标人名称</w:t>
            </w:r>
          </w:p>
        </w:tc>
        <w:tc>
          <w:tcPr>
            <w:tcW w:w="8106" w:type="dxa"/>
            <w:vAlign w:val="center"/>
          </w:tcPr>
          <w:p>
            <w:pPr>
              <w:spacing w:line="360" w:lineRule="auto"/>
              <w:ind w:firstLine="210"/>
              <w:jc w:val="center"/>
              <w:rPr>
                <w:rFonts w:asciiTheme="minorEastAsia" w:hAnsiTheme="minorEastAsia" w:eastAsiaTheme="minorEastAsia" w:cstheme="minorEastAsia"/>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3" w:hRule="atLeast"/>
        </w:trPr>
        <w:tc>
          <w:tcPr>
            <w:tcW w:w="1908" w:type="dxa"/>
            <w:vAlign w:val="center"/>
          </w:tcPr>
          <w:p>
            <w:pPr>
              <w:spacing w:line="360" w:lineRule="auto"/>
              <w:ind w:firstLine="210"/>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中标人名称</w:t>
            </w:r>
          </w:p>
        </w:tc>
        <w:tc>
          <w:tcPr>
            <w:tcW w:w="8106" w:type="dxa"/>
            <w:vAlign w:val="center"/>
          </w:tcPr>
          <w:p>
            <w:pPr>
              <w:spacing w:line="360" w:lineRule="auto"/>
              <w:ind w:firstLine="210"/>
              <w:jc w:val="center"/>
              <w:rPr>
                <w:rFonts w:asciiTheme="minorEastAsia" w:hAnsiTheme="minorEastAsia" w:eastAsiaTheme="minorEastAsia" w:cstheme="minorEastAsia"/>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3" w:hRule="atLeast"/>
        </w:trPr>
        <w:tc>
          <w:tcPr>
            <w:tcW w:w="1908" w:type="dxa"/>
            <w:vAlign w:val="center"/>
          </w:tcPr>
          <w:p>
            <w:pPr>
              <w:spacing w:line="360" w:lineRule="auto"/>
              <w:ind w:firstLine="210"/>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中标金额</w:t>
            </w:r>
          </w:p>
        </w:tc>
        <w:tc>
          <w:tcPr>
            <w:tcW w:w="8106" w:type="dxa"/>
            <w:vAlign w:val="center"/>
          </w:tcPr>
          <w:p>
            <w:pPr>
              <w:spacing w:line="360" w:lineRule="auto"/>
              <w:ind w:firstLine="21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（大写）：                     （小写：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3" w:hRule="atLeast"/>
        </w:trPr>
        <w:tc>
          <w:tcPr>
            <w:tcW w:w="1908" w:type="dxa"/>
            <w:vAlign w:val="center"/>
          </w:tcPr>
          <w:p>
            <w:pPr>
              <w:spacing w:line="360" w:lineRule="auto"/>
              <w:ind w:firstLine="210"/>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中标内容范围</w:t>
            </w:r>
          </w:p>
        </w:tc>
        <w:tc>
          <w:tcPr>
            <w:tcW w:w="8106" w:type="dxa"/>
            <w:vAlign w:val="center"/>
          </w:tcPr>
          <w:p>
            <w:pPr>
              <w:spacing w:line="360" w:lineRule="auto"/>
              <w:ind w:firstLine="210"/>
              <w:jc w:val="center"/>
              <w:rPr>
                <w:rFonts w:asciiTheme="minorEastAsia" w:hAnsiTheme="minorEastAsia" w:eastAsiaTheme="minorEastAsia" w:cstheme="minorEastAsia"/>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3" w:hRule="atLeast"/>
        </w:trPr>
        <w:tc>
          <w:tcPr>
            <w:tcW w:w="1908" w:type="dxa"/>
            <w:vAlign w:val="center"/>
          </w:tcPr>
          <w:p>
            <w:pPr>
              <w:spacing w:line="360" w:lineRule="auto"/>
              <w:ind w:firstLine="210"/>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中标人与招标人签订中标合同期限</w:t>
            </w:r>
          </w:p>
        </w:tc>
        <w:tc>
          <w:tcPr>
            <w:tcW w:w="8106" w:type="dxa"/>
            <w:vAlign w:val="center"/>
          </w:tcPr>
          <w:p>
            <w:pPr>
              <w:spacing w:line="360" w:lineRule="auto"/>
              <w:ind w:firstLine="210"/>
              <w:jc w:val="center"/>
              <w:rPr>
                <w:rFonts w:asciiTheme="minorEastAsia" w:hAnsiTheme="minorEastAsia" w:eastAsiaTheme="minorEastAsia" w:cstheme="minorEastAsia"/>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3" w:hRule="atLeast"/>
        </w:trPr>
        <w:tc>
          <w:tcPr>
            <w:tcW w:w="1908" w:type="dxa"/>
            <w:vAlign w:val="center"/>
          </w:tcPr>
          <w:p>
            <w:pPr>
              <w:spacing w:line="360" w:lineRule="auto"/>
              <w:ind w:firstLine="210"/>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签订中标合同地址</w:t>
            </w:r>
          </w:p>
        </w:tc>
        <w:tc>
          <w:tcPr>
            <w:tcW w:w="8106" w:type="dxa"/>
            <w:vAlign w:val="center"/>
          </w:tcPr>
          <w:p>
            <w:pPr>
              <w:spacing w:line="360" w:lineRule="auto"/>
              <w:ind w:firstLine="210"/>
              <w:jc w:val="center"/>
              <w:rPr>
                <w:rFonts w:asciiTheme="minorEastAsia" w:hAnsiTheme="minorEastAsia" w:eastAsiaTheme="minorEastAsia" w:cstheme="minorEastAsia"/>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3" w:hRule="atLeast"/>
        </w:trPr>
        <w:tc>
          <w:tcPr>
            <w:tcW w:w="1908" w:type="dxa"/>
            <w:vAlign w:val="center"/>
          </w:tcPr>
          <w:p>
            <w:pPr>
              <w:spacing w:line="360" w:lineRule="auto"/>
              <w:ind w:firstLine="210"/>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其他需说明内容</w:t>
            </w:r>
          </w:p>
        </w:tc>
        <w:tc>
          <w:tcPr>
            <w:tcW w:w="8106" w:type="dxa"/>
            <w:vAlign w:val="center"/>
          </w:tcPr>
          <w:p>
            <w:pPr>
              <w:spacing w:line="360" w:lineRule="auto"/>
              <w:ind w:firstLine="210"/>
              <w:jc w:val="center"/>
              <w:rPr>
                <w:rFonts w:asciiTheme="minorEastAsia" w:hAnsiTheme="minorEastAsia" w:eastAsiaTheme="minorEastAsia" w:cstheme="minorEastAsia"/>
                <w:color w:val="auto"/>
                <w:sz w:val="24"/>
                <w:szCs w:val="24"/>
                <w:highlight w:val="none"/>
              </w:rPr>
            </w:pPr>
          </w:p>
        </w:tc>
      </w:tr>
    </w:tbl>
    <w:p>
      <w:pPr>
        <w:spacing w:line="360" w:lineRule="auto"/>
        <w:ind w:firstLine="21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w:t>
      </w:r>
    </w:p>
    <w:p>
      <w:pPr>
        <w:spacing w:line="360" w:lineRule="auto"/>
        <w:ind w:firstLine="210"/>
        <w:jc w:val="right"/>
        <w:rPr>
          <w:rFonts w:ascii="宋体" w:hAnsi="宋体" w:cs="宋体"/>
          <w:color w:val="auto"/>
          <w:sz w:val="24"/>
          <w:szCs w:val="24"/>
          <w:highlight w:val="none"/>
          <w:u w:val="single"/>
        </w:rPr>
      </w:pPr>
      <w:r>
        <w:rPr>
          <w:rFonts w:hint="eastAsia" w:ascii="宋体" w:hAnsi="宋体" w:cs="宋体"/>
          <w:color w:val="auto"/>
          <w:sz w:val="24"/>
          <w:szCs w:val="24"/>
          <w:highlight w:val="none"/>
        </w:rPr>
        <w:t>招标人：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盖章</w:t>
      </w:r>
      <w:r>
        <w:rPr>
          <w:rFonts w:hint="eastAsia" w:ascii="宋体" w:hAnsi="宋体" w:cs="宋体"/>
          <w:color w:val="auto"/>
          <w:sz w:val="24"/>
          <w:szCs w:val="24"/>
          <w:highlight w:val="none"/>
          <w:u w:val="single"/>
        </w:rPr>
        <w:t>）</w:t>
      </w:r>
    </w:p>
    <w:p>
      <w:pPr>
        <w:spacing w:line="360" w:lineRule="auto"/>
        <w:ind w:firstLine="210"/>
        <w:jc w:val="right"/>
        <w:rPr>
          <w:rFonts w:ascii="宋体" w:hAnsi="宋体" w:cs="宋体"/>
          <w:color w:val="auto"/>
          <w:sz w:val="24"/>
          <w:szCs w:val="24"/>
          <w:highlight w:val="none"/>
        </w:rPr>
      </w:pPr>
      <w:r>
        <w:rPr>
          <w:rFonts w:hint="eastAsia" w:ascii="宋体" w:hAnsi="宋体" w:cs="宋体"/>
          <w:color w:val="auto"/>
          <w:sz w:val="24"/>
          <w:szCs w:val="24"/>
          <w:highlight w:val="none"/>
        </w:rPr>
        <w:t xml:space="preserve">   年  月  日</w:t>
      </w:r>
    </w:p>
    <w:p>
      <w:pPr>
        <w:jc w:val="right"/>
        <w:rPr>
          <w:rFonts w:ascii="宋体" w:hAnsi="宋体" w:cs="宋体"/>
          <w:color w:val="auto"/>
          <w:sz w:val="24"/>
          <w:szCs w:val="24"/>
          <w:highlight w:val="none"/>
        </w:rPr>
      </w:pPr>
      <w:r>
        <w:rPr>
          <w:rFonts w:hint="eastAsia" w:ascii="宋体" w:hAnsi="宋体" w:cs="宋体"/>
          <w:color w:val="auto"/>
          <w:sz w:val="24"/>
          <w:szCs w:val="24"/>
          <w:highlight w:val="none"/>
          <w:u w:val="single"/>
        </w:rPr>
        <w:t>招标代理：              （</w:t>
      </w:r>
      <w:r>
        <w:rPr>
          <w:rFonts w:hint="eastAsia" w:ascii="宋体" w:hAnsi="宋体" w:cs="宋体"/>
          <w:color w:val="auto"/>
          <w:sz w:val="24"/>
          <w:szCs w:val="24"/>
          <w:highlight w:val="none"/>
        </w:rPr>
        <w:t>盖章</w:t>
      </w:r>
      <w:r>
        <w:rPr>
          <w:rFonts w:hint="eastAsia" w:ascii="宋体" w:hAnsi="宋体" w:cs="宋体"/>
          <w:color w:val="auto"/>
          <w:sz w:val="24"/>
          <w:szCs w:val="24"/>
          <w:highlight w:val="none"/>
          <w:u w:val="single"/>
        </w:rPr>
        <w:t>）</w:t>
      </w:r>
      <w:r>
        <w:rPr>
          <w:rFonts w:hint="eastAsia" w:ascii="宋体" w:hAnsi="宋体" w:cs="宋体"/>
          <w:color w:val="auto"/>
          <w:sz w:val="24"/>
          <w:szCs w:val="24"/>
          <w:highlight w:val="none"/>
        </w:rPr>
        <w:t xml:space="preserve">  </w:t>
      </w:r>
    </w:p>
    <w:p>
      <w:pPr>
        <w:spacing w:line="360" w:lineRule="auto"/>
        <w:ind w:firstLine="210"/>
        <w:jc w:val="right"/>
        <w:rPr>
          <w:rFonts w:ascii="宋体" w:hAnsi="宋体" w:cs="宋体"/>
          <w:color w:val="auto"/>
          <w:sz w:val="24"/>
          <w:szCs w:val="24"/>
          <w:highlight w:val="none"/>
        </w:rPr>
      </w:pPr>
      <w:r>
        <w:rPr>
          <w:rFonts w:hint="eastAsia" w:ascii="宋体" w:hAnsi="宋体" w:cs="宋体"/>
          <w:color w:val="auto"/>
          <w:sz w:val="24"/>
          <w:szCs w:val="24"/>
          <w:highlight w:val="none"/>
        </w:rPr>
        <w:t xml:space="preserve">   年  月  日</w:t>
      </w:r>
    </w:p>
    <w:p>
      <w:pPr>
        <w:jc w:val="right"/>
        <w:rPr>
          <w:rFonts w:ascii="宋体" w:hAnsi="宋体" w:cs="宋体"/>
          <w:color w:val="auto"/>
          <w:sz w:val="24"/>
          <w:szCs w:val="24"/>
          <w:highlight w:val="none"/>
        </w:rPr>
      </w:pPr>
      <w:r>
        <w:rPr>
          <w:rFonts w:hint="eastAsia" w:ascii="宋体" w:hAnsi="宋体" w:cs="宋体"/>
          <w:color w:val="auto"/>
          <w:sz w:val="24"/>
          <w:szCs w:val="24"/>
          <w:highlight w:val="none"/>
          <w:u w:val="single"/>
        </w:rPr>
        <w:t>备案部门：              （</w:t>
      </w:r>
      <w:r>
        <w:rPr>
          <w:rFonts w:hint="eastAsia" w:ascii="宋体" w:hAnsi="宋体" w:cs="宋体"/>
          <w:color w:val="auto"/>
          <w:sz w:val="24"/>
          <w:szCs w:val="24"/>
          <w:highlight w:val="none"/>
        </w:rPr>
        <w:t>盖章</w:t>
      </w:r>
      <w:r>
        <w:rPr>
          <w:rFonts w:hint="eastAsia" w:ascii="宋体" w:hAnsi="宋体" w:cs="宋体"/>
          <w:color w:val="auto"/>
          <w:sz w:val="24"/>
          <w:szCs w:val="24"/>
          <w:highlight w:val="none"/>
          <w:u w:val="single"/>
        </w:rPr>
        <w:t>）</w:t>
      </w:r>
      <w:r>
        <w:rPr>
          <w:rFonts w:hint="eastAsia" w:ascii="宋体" w:hAnsi="宋体" w:cs="宋体"/>
          <w:color w:val="auto"/>
          <w:sz w:val="24"/>
          <w:szCs w:val="24"/>
          <w:highlight w:val="none"/>
        </w:rPr>
        <w:t xml:space="preserve">            </w:t>
      </w:r>
    </w:p>
    <w:p>
      <w:pPr>
        <w:spacing w:line="360" w:lineRule="auto"/>
        <w:ind w:firstLine="210"/>
        <w:jc w:val="right"/>
        <w:rPr>
          <w:rFonts w:asciiTheme="minorEastAsia" w:hAnsiTheme="minorEastAsia" w:eastAsiaTheme="minorEastAsia" w:cstheme="minorEastAsia"/>
          <w:color w:val="auto"/>
          <w:sz w:val="24"/>
          <w:szCs w:val="24"/>
          <w:highlight w:val="none"/>
        </w:rPr>
      </w:pPr>
      <w:r>
        <w:rPr>
          <w:rFonts w:hint="eastAsia" w:ascii="宋体" w:hAnsi="宋体" w:cs="宋体"/>
          <w:color w:val="auto"/>
          <w:sz w:val="24"/>
          <w:szCs w:val="24"/>
          <w:highlight w:val="none"/>
        </w:rPr>
        <w:t>年   月   日</w:t>
      </w:r>
    </w:p>
    <w:p>
      <w:pPr>
        <w:pStyle w:val="7"/>
        <w:ind w:firstLine="0" w:firstLineChars="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br w:type="page"/>
      </w:r>
      <w:bookmarkStart w:id="413" w:name="_Toc30185"/>
      <w:r>
        <w:rPr>
          <w:rFonts w:hint="eastAsia" w:asciiTheme="minorEastAsia" w:hAnsiTheme="minorEastAsia" w:eastAsiaTheme="minorEastAsia" w:cstheme="minorEastAsia"/>
          <w:color w:val="auto"/>
          <w:sz w:val="24"/>
          <w:szCs w:val="24"/>
          <w:highlight w:val="none"/>
        </w:rPr>
        <w:t>附表五：中标结果通知书</w:t>
      </w:r>
      <w:bookmarkEnd w:id="413"/>
    </w:p>
    <w:p>
      <w:pPr>
        <w:spacing w:line="360" w:lineRule="auto"/>
        <w:ind w:firstLine="482" w:firstLineChars="200"/>
        <w:jc w:val="center"/>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中标结果通知书</w:t>
      </w:r>
    </w:p>
    <w:p>
      <w:pPr>
        <w:spacing w:line="360" w:lineRule="auto"/>
        <w:ind w:firstLine="210"/>
        <w:rPr>
          <w:rFonts w:asciiTheme="minorEastAsia" w:hAnsiTheme="minorEastAsia" w:eastAsiaTheme="minorEastAsia" w:cstheme="minorEastAsia"/>
          <w:color w:val="auto"/>
          <w:sz w:val="24"/>
          <w:szCs w:val="24"/>
          <w:highlight w:val="none"/>
          <w:u w:val="single"/>
        </w:rPr>
      </w:pPr>
    </w:p>
    <w:p>
      <w:pPr>
        <w:spacing w:line="360" w:lineRule="auto"/>
        <w:ind w:firstLine="210"/>
        <w:rPr>
          <w:rFonts w:asciiTheme="minorEastAsia" w:hAnsiTheme="minorEastAsia" w:eastAsiaTheme="minorEastAsia" w:cstheme="minorEastAsia"/>
          <w:color w:val="auto"/>
          <w:sz w:val="24"/>
          <w:szCs w:val="24"/>
          <w:highlight w:val="none"/>
          <w:u w:val="single"/>
        </w:rPr>
      </w:pPr>
    </w:p>
    <w:p>
      <w:pPr>
        <w:spacing w:line="360" w:lineRule="auto"/>
        <w:ind w:firstLine="21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（未中标人名称）: </w:t>
      </w:r>
    </w:p>
    <w:p>
      <w:pPr>
        <w:spacing w:line="360" w:lineRule="auto"/>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我方已接受</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（中标人名称）于</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（投标日期）所递交的</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（项目名称）投标文件，确定</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（中标人名称）为中标人。</w:t>
      </w:r>
    </w:p>
    <w:p>
      <w:pPr>
        <w:spacing w:line="360" w:lineRule="auto"/>
        <w:ind w:firstLine="480" w:firstLineChars="200"/>
        <w:rPr>
          <w:rFonts w:asciiTheme="minorEastAsia" w:hAnsiTheme="minorEastAsia" w:eastAsiaTheme="minorEastAsia" w:cstheme="minorEastAsia"/>
          <w:color w:val="auto"/>
          <w:sz w:val="24"/>
          <w:szCs w:val="24"/>
          <w:highlight w:val="none"/>
        </w:rPr>
      </w:pPr>
    </w:p>
    <w:p>
      <w:pPr>
        <w:spacing w:line="360" w:lineRule="auto"/>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感谢你单位对我们工作的大力支持！</w:t>
      </w:r>
    </w:p>
    <w:p>
      <w:pPr>
        <w:spacing w:line="360" w:lineRule="auto"/>
        <w:ind w:firstLine="4800" w:firstLineChars="2000"/>
        <w:rPr>
          <w:rFonts w:asciiTheme="minorEastAsia" w:hAnsiTheme="minorEastAsia" w:eastAsiaTheme="minorEastAsia" w:cstheme="minorEastAsia"/>
          <w:color w:val="auto"/>
          <w:sz w:val="24"/>
          <w:szCs w:val="24"/>
          <w:highlight w:val="none"/>
        </w:rPr>
      </w:pPr>
    </w:p>
    <w:p>
      <w:pPr>
        <w:spacing w:line="360" w:lineRule="auto"/>
        <w:ind w:firstLine="4800" w:firstLineChars="2000"/>
        <w:rPr>
          <w:rFonts w:asciiTheme="minorEastAsia" w:hAnsiTheme="minorEastAsia" w:eastAsiaTheme="minorEastAsia" w:cstheme="minorEastAsia"/>
          <w:color w:val="auto"/>
          <w:sz w:val="24"/>
          <w:szCs w:val="24"/>
          <w:highlight w:val="none"/>
        </w:rPr>
      </w:pPr>
    </w:p>
    <w:p>
      <w:pPr>
        <w:spacing w:line="360" w:lineRule="auto"/>
        <w:ind w:firstLine="4800" w:firstLineChars="2000"/>
        <w:rPr>
          <w:rFonts w:asciiTheme="minorEastAsia" w:hAnsiTheme="minorEastAsia" w:eastAsiaTheme="minorEastAsia" w:cstheme="minorEastAsia"/>
          <w:color w:val="auto"/>
          <w:sz w:val="24"/>
          <w:szCs w:val="24"/>
          <w:highlight w:val="none"/>
        </w:rPr>
      </w:pPr>
    </w:p>
    <w:p>
      <w:pPr>
        <w:spacing w:line="360" w:lineRule="auto"/>
        <w:ind w:firstLine="4800" w:firstLineChars="2000"/>
        <w:rPr>
          <w:rFonts w:asciiTheme="minorEastAsia" w:hAnsiTheme="minorEastAsia" w:eastAsiaTheme="minorEastAsia" w:cstheme="minorEastAsia"/>
          <w:color w:val="auto"/>
          <w:sz w:val="24"/>
          <w:szCs w:val="24"/>
          <w:highlight w:val="none"/>
        </w:rPr>
      </w:pPr>
    </w:p>
    <w:p>
      <w:pPr>
        <w:spacing w:line="360" w:lineRule="auto"/>
        <w:ind w:firstLine="4800" w:firstLineChars="20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招标人：</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（盖单位公章）</w:t>
      </w:r>
    </w:p>
    <w:p>
      <w:pPr>
        <w:spacing w:line="360" w:lineRule="auto"/>
        <w:ind w:firstLine="480" w:firstLineChars="200"/>
        <w:rPr>
          <w:rFonts w:asciiTheme="minorEastAsia" w:hAnsiTheme="minorEastAsia" w:eastAsiaTheme="minorEastAsia" w:cstheme="minorEastAsia"/>
          <w:color w:val="auto"/>
          <w:sz w:val="24"/>
          <w:szCs w:val="24"/>
          <w:highlight w:val="none"/>
        </w:rPr>
      </w:pPr>
    </w:p>
    <w:p>
      <w:pPr>
        <w:spacing w:line="360" w:lineRule="auto"/>
        <w:ind w:firstLine="5520" w:firstLineChars="2300"/>
        <w:rPr>
          <w:rFonts w:asciiTheme="minorEastAsia" w:hAnsiTheme="minorEastAsia" w:eastAsiaTheme="minorEastAsia" w:cstheme="minorEastAsia"/>
          <w:color w:val="auto"/>
          <w:sz w:val="24"/>
          <w:szCs w:val="24"/>
          <w:highlight w:val="none"/>
          <w:u w:val="single"/>
        </w:rPr>
      </w:pPr>
    </w:p>
    <w:p>
      <w:pPr>
        <w:spacing w:line="360" w:lineRule="auto"/>
        <w:ind w:firstLine="5520" w:firstLineChars="23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年</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月 </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日</w:t>
      </w:r>
    </w:p>
    <w:p>
      <w:pPr>
        <w:spacing w:line="360" w:lineRule="auto"/>
        <w:ind w:firstLine="480" w:firstLineChars="200"/>
        <w:rPr>
          <w:rFonts w:asciiTheme="minorEastAsia" w:hAnsiTheme="minorEastAsia" w:eastAsiaTheme="minorEastAsia" w:cstheme="minorEastAsia"/>
          <w:color w:val="auto"/>
          <w:sz w:val="24"/>
          <w:szCs w:val="24"/>
          <w:highlight w:val="none"/>
        </w:rPr>
      </w:pPr>
    </w:p>
    <w:p>
      <w:pPr>
        <w:ind w:firstLine="210"/>
        <w:rPr>
          <w:rFonts w:asciiTheme="minorEastAsia" w:hAnsiTheme="minorEastAsia" w:eastAsiaTheme="minorEastAsia" w:cstheme="minorEastAsia"/>
          <w:color w:val="auto"/>
          <w:sz w:val="24"/>
          <w:szCs w:val="24"/>
          <w:highlight w:val="none"/>
        </w:rPr>
      </w:pPr>
    </w:p>
    <w:p>
      <w:pPr>
        <w:ind w:firstLine="210"/>
        <w:rPr>
          <w:rFonts w:asciiTheme="minorEastAsia" w:hAnsiTheme="minorEastAsia" w:eastAsiaTheme="minorEastAsia" w:cstheme="minorEastAsia"/>
          <w:color w:val="auto"/>
          <w:sz w:val="24"/>
          <w:szCs w:val="24"/>
          <w:highlight w:val="none"/>
        </w:rPr>
      </w:pPr>
    </w:p>
    <w:p>
      <w:pPr>
        <w:tabs>
          <w:tab w:val="left" w:pos="6624"/>
        </w:tabs>
        <w:ind w:firstLine="21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ab/>
      </w:r>
    </w:p>
    <w:p>
      <w:pPr>
        <w:ind w:firstLine="210"/>
        <w:rPr>
          <w:rFonts w:asciiTheme="minorEastAsia" w:hAnsiTheme="minorEastAsia" w:eastAsiaTheme="minorEastAsia" w:cstheme="minorEastAsia"/>
          <w:color w:val="auto"/>
          <w:sz w:val="24"/>
          <w:szCs w:val="24"/>
          <w:highlight w:val="none"/>
        </w:rPr>
      </w:pPr>
    </w:p>
    <w:p>
      <w:pPr>
        <w:ind w:firstLine="210"/>
        <w:rPr>
          <w:rFonts w:asciiTheme="minorEastAsia" w:hAnsiTheme="minorEastAsia" w:eastAsiaTheme="minorEastAsia" w:cstheme="minorEastAsia"/>
          <w:color w:val="auto"/>
          <w:sz w:val="24"/>
          <w:szCs w:val="24"/>
          <w:highlight w:val="none"/>
        </w:rPr>
        <w:sectPr>
          <w:pgSz w:w="11905" w:h="16838"/>
          <w:pgMar w:top="1417" w:right="1134" w:bottom="1417" w:left="1134" w:header="680" w:footer="680" w:gutter="0"/>
          <w:cols w:space="0" w:num="1"/>
          <w:docGrid w:linePitch="312" w:charSpace="0"/>
        </w:sectPr>
      </w:pPr>
    </w:p>
    <w:p>
      <w:pPr>
        <w:pStyle w:val="7"/>
        <w:ind w:firstLine="482"/>
        <w:rPr>
          <w:rFonts w:asciiTheme="minorEastAsia" w:hAnsiTheme="minorEastAsia" w:eastAsiaTheme="minorEastAsia" w:cstheme="minorEastAsia"/>
          <w:color w:val="auto"/>
          <w:sz w:val="24"/>
          <w:szCs w:val="24"/>
          <w:highlight w:val="none"/>
        </w:rPr>
      </w:pPr>
      <w:bookmarkStart w:id="414" w:name="_Toc23370"/>
      <w:r>
        <w:rPr>
          <w:rFonts w:hint="eastAsia" w:asciiTheme="minorEastAsia" w:hAnsiTheme="minorEastAsia" w:eastAsiaTheme="minorEastAsia" w:cstheme="minorEastAsia"/>
          <w:color w:val="auto"/>
          <w:sz w:val="24"/>
          <w:szCs w:val="24"/>
          <w:highlight w:val="none"/>
        </w:rPr>
        <w:t>附表六：确认通知</w:t>
      </w:r>
      <w:bookmarkEnd w:id="414"/>
    </w:p>
    <w:p>
      <w:pPr>
        <w:spacing w:line="360" w:lineRule="auto"/>
        <w:ind w:firstLine="482" w:firstLineChars="200"/>
        <w:jc w:val="center"/>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确认通知</w:t>
      </w:r>
    </w:p>
    <w:p>
      <w:pPr>
        <w:spacing w:line="360" w:lineRule="auto"/>
        <w:ind w:firstLine="480" w:firstLineChars="200"/>
        <w:rPr>
          <w:rFonts w:asciiTheme="minorEastAsia" w:hAnsiTheme="minorEastAsia" w:eastAsiaTheme="minorEastAsia" w:cstheme="minorEastAsia"/>
          <w:color w:val="auto"/>
          <w:sz w:val="24"/>
          <w:szCs w:val="24"/>
          <w:highlight w:val="none"/>
          <w:u w:val="single"/>
        </w:rPr>
      </w:pPr>
    </w:p>
    <w:p>
      <w:pPr>
        <w:spacing w:line="360" w:lineRule="auto"/>
        <w:ind w:firstLine="21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（招标人名称）: </w:t>
      </w:r>
    </w:p>
    <w:p>
      <w:pPr>
        <w:spacing w:line="360" w:lineRule="auto"/>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我方已接到你方</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年</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月</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日发出的</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（项目名称）招标关于</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的通知，我方已于</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年</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月</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日收到。</w:t>
      </w:r>
    </w:p>
    <w:p>
      <w:pPr>
        <w:spacing w:line="360" w:lineRule="auto"/>
        <w:ind w:firstLine="480" w:firstLineChars="200"/>
        <w:rPr>
          <w:rFonts w:asciiTheme="minorEastAsia" w:hAnsiTheme="minorEastAsia" w:eastAsiaTheme="minorEastAsia" w:cstheme="minorEastAsia"/>
          <w:color w:val="auto"/>
          <w:sz w:val="24"/>
          <w:szCs w:val="24"/>
          <w:highlight w:val="none"/>
        </w:rPr>
      </w:pPr>
    </w:p>
    <w:p>
      <w:pPr>
        <w:spacing w:line="360" w:lineRule="auto"/>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特此确认。</w:t>
      </w:r>
    </w:p>
    <w:p>
      <w:pPr>
        <w:spacing w:line="360" w:lineRule="auto"/>
        <w:ind w:firstLine="480" w:firstLineChars="200"/>
        <w:rPr>
          <w:rFonts w:asciiTheme="minorEastAsia" w:hAnsiTheme="minorEastAsia" w:eastAsiaTheme="minorEastAsia" w:cstheme="minorEastAsia"/>
          <w:color w:val="auto"/>
          <w:sz w:val="24"/>
          <w:szCs w:val="24"/>
          <w:highlight w:val="none"/>
        </w:rPr>
      </w:pPr>
    </w:p>
    <w:p>
      <w:pPr>
        <w:spacing w:line="360" w:lineRule="auto"/>
        <w:ind w:firstLine="480" w:firstLineChars="200"/>
        <w:rPr>
          <w:rFonts w:asciiTheme="minorEastAsia" w:hAnsiTheme="minorEastAsia" w:eastAsiaTheme="minorEastAsia" w:cstheme="minorEastAsia"/>
          <w:color w:val="auto"/>
          <w:sz w:val="24"/>
          <w:szCs w:val="24"/>
          <w:highlight w:val="none"/>
        </w:rPr>
      </w:pPr>
    </w:p>
    <w:p>
      <w:pPr>
        <w:spacing w:line="360" w:lineRule="auto"/>
        <w:ind w:firstLine="5400" w:firstLineChars="225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投标人：</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盖单位公章）</w:t>
      </w:r>
    </w:p>
    <w:p>
      <w:pPr>
        <w:spacing w:line="360" w:lineRule="auto"/>
        <w:ind w:firstLine="480" w:firstLineChars="200"/>
        <w:rPr>
          <w:rFonts w:asciiTheme="minorEastAsia" w:hAnsiTheme="minorEastAsia" w:eastAsiaTheme="minorEastAsia" w:cstheme="minorEastAsia"/>
          <w:color w:val="auto"/>
          <w:sz w:val="24"/>
          <w:szCs w:val="24"/>
          <w:highlight w:val="none"/>
        </w:rPr>
      </w:pPr>
    </w:p>
    <w:p>
      <w:pPr>
        <w:ind w:firstLine="21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年</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月</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日</w:t>
      </w:r>
    </w:p>
    <w:bookmarkEnd w:id="408"/>
    <w:bookmarkEnd w:id="409"/>
    <w:bookmarkEnd w:id="410"/>
    <w:p>
      <w:pPr>
        <w:rPr>
          <w:rFonts w:asciiTheme="minorEastAsia" w:hAnsiTheme="minorEastAsia" w:eastAsiaTheme="minorEastAsia" w:cstheme="minorEastAsia"/>
          <w:color w:val="auto"/>
          <w:sz w:val="24"/>
          <w:szCs w:val="24"/>
          <w:highlight w:val="none"/>
          <w:u w:val="single"/>
        </w:rPr>
      </w:pPr>
    </w:p>
    <w:p>
      <w:pPr>
        <w:rPr>
          <w:rFonts w:asciiTheme="minorEastAsia" w:hAnsiTheme="minorEastAsia" w:eastAsiaTheme="minorEastAsia" w:cstheme="minorEastAsia"/>
          <w:color w:val="auto"/>
          <w:sz w:val="24"/>
          <w:szCs w:val="24"/>
          <w:highlight w:val="none"/>
        </w:rPr>
      </w:pPr>
      <w:bookmarkStart w:id="415" w:name="_Toc413527636"/>
      <w:bookmarkStart w:id="416" w:name="_Toc321687881"/>
    </w:p>
    <w:p>
      <w:pPr>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pStyle w:val="5"/>
        <w:rPr>
          <w:color w:val="auto"/>
          <w:highlight w:val="none"/>
        </w:rPr>
      </w:pPr>
      <w:bookmarkStart w:id="417" w:name="_Toc3979"/>
      <w:r>
        <w:rPr>
          <w:rFonts w:hint="eastAsia"/>
          <w:color w:val="auto"/>
          <w:highlight w:val="none"/>
        </w:rPr>
        <w:t>第三章</w:t>
      </w:r>
      <w:r>
        <w:rPr>
          <w:color w:val="auto"/>
          <w:highlight w:val="none"/>
        </w:rPr>
        <w:t xml:space="preserve"> </w:t>
      </w:r>
      <w:r>
        <w:rPr>
          <w:rFonts w:hint="eastAsia"/>
          <w:color w:val="auto"/>
          <w:highlight w:val="none"/>
        </w:rPr>
        <w:t>评标办法</w:t>
      </w:r>
      <w:bookmarkEnd w:id="415"/>
      <w:bookmarkEnd w:id="416"/>
      <w:bookmarkEnd w:id="417"/>
    </w:p>
    <w:p>
      <w:pPr>
        <w:snapToGrid w:val="0"/>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根据《中华人民共和国招标投标法》、《中华人民共和国招标投标法实施条例》、《浙江省招标投标条例》、《评标委员会和评标办法暂行规定》（国家发展计划委员会第12号）、《浙江省综合性评标专家库管理办法实施细则》、</w:t>
      </w:r>
      <w:r>
        <w:rPr>
          <w:rFonts w:hint="eastAsia" w:asciiTheme="minorEastAsia" w:hAnsiTheme="minorEastAsia" w:eastAsiaTheme="minorEastAsia" w:cstheme="minorEastAsia"/>
          <w:i/>
          <w:color w:val="auto"/>
          <w:sz w:val="24"/>
          <w:szCs w:val="24"/>
          <w:highlight w:val="none"/>
        </w:rPr>
        <w:t>《</w:t>
      </w:r>
      <w:r>
        <w:rPr>
          <w:rFonts w:hint="eastAsia" w:asciiTheme="minorEastAsia" w:hAnsiTheme="minorEastAsia" w:eastAsiaTheme="minorEastAsia" w:cstheme="minorEastAsia"/>
          <w:color w:val="auto"/>
          <w:sz w:val="24"/>
          <w:szCs w:val="24"/>
          <w:highlight w:val="none"/>
        </w:rPr>
        <w:t>浙江省人民政府关于进一步严格规范工程建设项目招标投标活动的意见》(浙政发〔2014〕39号)等有关规定，制定本办法。</w:t>
      </w:r>
    </w:p>
    <w:p>
      <w:pPr>
        <w:snapToGrid w:val="0"/>
        <w:ind w:firstLine="472" w:firstLineChars="196"/>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一、评标原则</w:t>
      </w:r>
    </w:p>
    <w:p>
      <w:pPr>
        <w:snapToGrid w:val="0"/>
        <w:ind w:firstLine="540" w:firstLineChars="225"/>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评标应遵循公平、公正、科学、择优的原则。</w:t>
      </w:r>
    </w:p>
    <w:p>
      <w:pPr>
        <w:snapToGrid w:val="0"/>
        <w:ind w:firstLine="472" w:firstLineChars="196"/>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二、评标组织</w:t>
      </w:r>
    </w:p>
    <w:p>
      <w:pPr>
        <w:adjustRightInd w:val="0"/>
        <w:snapToGrid w:val="0"/>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评标工作由招标人依法组建的评标委员会负责，评标委员会的组建见投标人须知前附表，评标委员会成员为不少于5人的单数。</w:t>
      </w:r>
    </w:p>
    <w:p>
      <w:pPr>
        <w:adjustRightInd w:val="0"/>
        <w:snapToGrid w:val="0"/>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评标委员会组建后报绍兴公共资源交易中心备案。</w:t>
      </w:r>
    </w:p>
    <w:p>
      <w:pPr>
        <w:adjustRightInd w:val="0"/>
        <w:snapToGrid w:val="0"/>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评标委员会应推举产生评标委员会负责人，评标委员会负责人负责组织评标、掌握评标进程、主持询标、编写评标报告等工作，评标委员会负责人与其他成员具有同等的权利。评标委员会成员对所提出的评审意见承担个人责任。</w:t>
      </w:r>
    </w:p>
    <w:p>
      <w:pPr>
        <w:adjustRightInd w:val="0"/>
        <w:snapToGrid w:val="0"/>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评标委员会应当按照招标文件确定的评标标准和方法，客观、公正对投标文件进行评审和比较，招标文件没有规定的评标标准和方法不得作为评标的依据。</w:t>
      </w:r>
    </w:p>
    <w:p>
      <w:pPr>
        <w:adjustRightInd w:val="0"/>
        <w:snapToGrid w:val="0"/>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评标委员会对投标文件作出的评审结论，应当符合有关法律、法规、规章和招标文件的规定。</w:t>
      </w:r>
    </w:p>
    <w:p>
      <w:pPr>
        <w:snapToGrid w:val="0"/>
        <w:ind w:firstLine="559" w:firstLineChars="232"/>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三、评标程序和内容</w:t>
      </w:r>
    </w:p>
    <w:p>
      <w:pPr>
        <w:adjustRightInd w:val="0"/>
        <w:snapToGrid w:val="0"/>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（一）熟悉招标文件和评标办法；</w:t>
      </w:r>
    </w:p>
    <w:p>
      <w:pPr>
        <w:adjustRightInd w:val="0"/>
        <w:snapToGrid w:val="0"/>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（二）投标文件的符合性评审；</w:t>
      </w:r>
    </w:p>
    <w:p>
      <w:pPr>
        <w:adjustRightInd w:val="0"/>
        <w:snapToGrid w:val="0"/>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（三）投标文件的资信、业绩评审；</w:t>
      </w:r>
    </w:p>
    <w:p>
      <w:pPr>
        <w:adjustRightInd w:val="0"/>
        <w:snapToGrid w:val="0"/>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（四）投标文件的技术标评审；</w:t>
      </w:r>
    </w:p>
    <w:p>
      <w:pPr>
        <w:adjustRightInd w:val="0"/>
        <w:snapToGrid w:val="0"/>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（五）投标文件的商务标评审；</w:t>
      </w:r>
    </w:p>
    <w:p>
      <w:pPr>
        <w:adjustRightInd w:val="0"/>
        <w:snapToGrid w:val="0"/>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（六）必要时对投标文件中的问题进行询标，包括拟作出否决投标决定前对相关投标人进行的询问核实；</w:t>
      </w:r>
    </w:p>
    <w:p>
      <w:pPr>
        <w:adjustRightInd w:val="0"/>
        <w:snapToGrid w:val="0"/>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（七）根据评标办法和标准对投标文件进行综合评分、排序；</w:t>
      </w:r>
    </w:p>
    <w:p>
      <w:pPr>
        <w:adjustRightInd w:val="0"/>
        <w:snapToGrid w:val="0"/>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（八）完成评标报告，推荐中标候选人。</w:t>
      </w:r>
    </w:p>
    <w:p>
      <w:pPr>
        <w:adjustRightInd w:val="0"/>
        <w:snapToGrid w:val="0"/>
        <w:ind w:firstLine="482" w:firstLineChars="200"/>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四、评审细则</w:t>
      </w:r>
    </w:p>
    <w:p>
      <w:pPr>
        <w:adjustRightInd w:val="0"/>
        <w:snapToGrid w:val="0"/>
        <w:ind w:firstLine="482" w:firstLineChars="200"/>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（一）投标文件的符合性评审</w:t>
      </w:r>
    </w:p>
    <w:p>
      <w:pPr>
        <w:adjustRightInd w:val="0"/>
        <w:snapToGrid w:val="0"/>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1.评标委员会应依照招标文件的要求和规定，首先对投标人的投标资格和投标文件进行符合性评审。</w:t>
      </w:r>
    </w:p>
    <w:p>
      <w:pPr>
        <w:adjustRightInd w:val="0"/>
        <w:snapToGrid w:val="0"/>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如评标委员会发现投标文件存在招标文件投标人须知前附表10.1“否决投标的情形” 第二款内容之一的，经询问核实并认定后，即可判定该投标文件符合性评审不通过予以否决，不再进入后续的综合评分程序。</w:t>
      </w:r>
    </w:p>
    <w:p>
      <w:pPr>
        <w:adjustRightInd w:val="0"/>
        <w:snapToGrid w:val="0"/>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2.询标</w:t>
      </w:r>
    </w:p>
    <w:p>
      <w:pPr>
        <w:adjustRightInd w:val="0"/>
        <w:snapToGrid w:val="0"/>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（1）投标文件中有含义不明确的内容、明显文字或计算错误，评标委员会认为需要投标人作出必要澄清、说明的，应当组织询标。</w:t>
      </w:r>
    </w:p>
    <w:p>
      <w:pPr>
        <w:adjustRightInd w:val="0"/>
        <w:snapToGrid w:val="0"/>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凡是评标委员会拟做出否决投标认定的，须组织相关投标人询问核实。未进行询问核实的，不得做出否决投标的认定，投标人放弃询问核实机会的除外（投标人所留联系方式无法联系上、在规定的时限内投标人不参加询问核实活动或不予答复的）。</w:t>
      </w:r>
    </w:p>
    <w:p>
      <w:pPr>
        <w:adjustRightInd w:val="0"/>
        <w:snapToGrid w:val="0"/>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（3）询标应通过专用录音电话通知相关投标人。询标内容及投标人的澄清、说明应当采用书面形式，并不得超出投标文件的范围或者改变投标文件的实质性内容。</w:t>
      </w:r>
    </w:p>
    <w:p>
      <w:pPr>
        <w:adjustRightInd w:val="0"/>
        <w:snapToGrid w:val="0"/>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（4）评标委员会不得暗示或者诱导投标人作出澄清、说明，不得接受投标人主动提出的澄清、说明。</w:t>
      </w:r>
    </w:p>
    <w:p>
      <w:pPr>
        <w:adjustRightInd w:val="0"/>
        <w:snapToGrid w:val="0"/>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（5）投标人不得通过补充、修改或撤消投标文件中的内容使其成为实质性响应的投标，投标人在投标截止时间以后不得提交任何资料作为评标依据。</w:t>
      </w:r>
    </w:p>
    <w:p>
      <w:pPr>
        <w:adjustRightInd w:val="0"/>
        <w:snapToGrid w:val="0"/>
        <w:ind w:firstLine="482" w:firstLineChars="200"/>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（二）资信、技术评审（满分60分）</w:t>
      </w:r>
    </w:p>
    <w:tbl>
      <w:tblPr>
        <w:tblStyle w:val="27"/>
        <w:tblW w:w="10250" w:type="dxa"/>
        <w:jc w:val="center"/>
        <w:tblLayout w:type="fixed"/>
        <w:tblCellMar>
          <w:top w:w="0" w:type="dxa"/>
          <w:left w:w="10" w:type="dxa"/>
          <w:bottom w:w="0" w:type="dxa"/>
          <w:right w:w="10" w:type="dxa"/>
        </w:tblCellMar>
      </w:tblPr>
      <w:tblGrid>
        <w:gridCol w:w="694"/>
        <w:gridCol w:w="1443"/>
        <w:gridCol w:w="2127"/>
        <w:gridCol w:w="5986"/>
      </w:tblGrid>
      <w:tr>
        <w:tblPrEx>
          <w:tblCellMar>
            <w:top w:w="0" w:type="dxa"/>
            <w:left w:w="10" w:type="dxa"/>
            <w:bottom w:w="0" w:type="dxa"/>
            <w:right w:w="10" w:type="dxa"/>
          </w:tblCellMar>
        </w:tblPrEx>
        <w:trPr>
          <w:jc w:val="center"/>
        </w:trPr>
        <w:tc>
          <w:tcPr>
            <w:tcW w:w="2137" w:type="dxa"/>
            <w:gridSpan w:val="2"/>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spacing w:line="320" w:lineRule="auto"/>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color w:val="auto"/>
                <w:sz w:val="24"/>
                <w:szCs w:val="24"/>
                <w:highlight w:val="none"/>
              </w:rPr>
              <w:t>条款号</w:t>
            </w:r>
          </w:p>
        </w:tc>
        <w:tc>
          <w:tcPr>
            <w:tcW w:w="2127" w:type="dxa"/>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spacing w:line="320" w:lineRule="auto"/>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color w:val="auto"/>
                <w:sz w:val="24"/>
                <w:szCs w:val="24"/>
                <w:highlight w:val="none"/>
              </w:rPr>
              <w:t>评审因素</w:t>
            </w:r>
          </w:p>
        </w:tc>
        <w:tc>
          <w:tcPr>
            <w:tcW w:w="5986" w:type="dxa"/>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spacing w:line="320" w:lineRule="auto"/>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color w:val="auto"/>
                <w:sz w:val="24"/>
                <w:szCs w:val="24"/>
                <w:highlight w:val="none"/>
              </w:rPr>
              <w:t>评审标准</w:t>
            </w:r>
          </w:p>
        </w:tc>
      </w:tr>
      <w:tr>
        <w:tblPrEx>
          <w:tblCellMar>
            <w:top w:w="0" w:type="dxa"/>
            <w:left w:w="10" w:type="dxa"/>
            <w:bottom w:w="0" w:type="dxa"/>
            <w:right w:w="10" w:type="dxa"/>
          </w:tblCellMar>
        </w:tblPrEx>
        <w:trPr>
          <w:jc w:val="center"/>
        </w:trPr>
        <w:tc>
          <w:tcPr>
            <w:tcW w:w="2137" w:type="dxa"/>
            <w:gridSpan w:val="2"/>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spacing w:line="320" w:lineRule="auto"/>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w:t>
            </w:r>
          </w:p>
        </w:tc>
        <w:tc>
          <w:tcPr>
            <w:tcW w:w="2127" w:type="dxa"/>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spacing w:line="320" w:lineRule="auto"/>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分值构成</w:t>
            </w:r>
          </w:p>
          <w:p>
            <w:pPr>
              <w:spacing w:line="320" w:lineRule="auto"/>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（总分60分）</w:t>
            </w:r>
          </w:p>
        </w:tc>
        <w:tc>
          <w:tcPr>
            <w:tcW w:w="5986" w:type="dxa"/>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spacing w:line="32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A=资信部分评审：</w:t>
            </w:r>
            <w:r>
              <w:rPr>
                <w:rFonts w:hint="eastAsia" w:asciiTheme="minorEastAsia" w:hAnsiTheme="minorEastAsia" w:eastAsiaTheme="minorEastAsia" w:cstheme="minorEastAsia"/>
                <w:color w:val="auto"/>
                <w:sz w:val="24"/>
                <w:szCs w:val="24"/>
                <w:highlight w:val="none"/>
                <w:u w:val="single"/>
              </w:rPr>
              <w:t xml:space="preserve">  2</w:t>
            </w:r>
            <w:r>
              <w:rPr>
                <w:rFonts w:hint="default" w:asciiTheme="minorEastAsia" w:hAnsiTheme="minorEastAsia" w:eastAsiaTheme="minorEastAsia" w:cstheme="minorEastAsia"/>
                <w:color w:val="auto"/>
                <w:sz w:val="24"/>
                <w:szCs w:val="24"/>
                <w:highlight w:val="none"/>
                <w:u w:val="single"/>
                <w:lang w:val="en-US"/>
              </w:rPr>
              <w:t>8</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分；</w:t>
            </w:r>
          </w:p>
          <w:p>
            <w:pPr>
              <w:spacing w:line="32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B=技术部分评审：</w:t>
            </w:r>
            <w:r>
              <w:rPr>
                <w:rFonts w:hint="eastAsia" w:asciiTheme="minorEastAsia" w:hAnsiTheme="minorEastAsia" w:eastAsiaTheme="minorEastAsia" w:cstheme="minorEastAsia"/>
                <w:color w:val="auto"/>
                <w:sz w:val="24"/>
                <w:szCs w:val="24"/>
                <w:highlight w:val="none"/>
                <w:u w:val="single"/>
              </w:rPr>
              <w:t xml:space="preserve">  3</w:t>
            </w:r>
            <w:r>
              <w:rPr>
                <w:rFonts w:hint="default" w:asciiTheme="minorEastAsia" w:hAnsiTheme="minorEastAsia" w:eastAsiaTheme="minorEastAsia" w:cstheme="minorEastAsia"/>
                <w:color w:val="auto"/>
                <w:sz w:val="24"/>
                <w:szCs w:val="24"/>
                <w:highlight w:val="none"/>
                <w:u w:val="single"/>
                <w:lang w:val="en-US"/>
              </w:rPr>
              <w:t>2</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分；</w:t>
            </w:r>
          </w:p>
        </w:tc>
      </w:tr>
      <w:tr>
        <w:tblPrEx>
          <w:tblCellMar>
            <w:top w:w="0" w:type="dxa"/>
            <w:left w:w="10" w:type="dxa"/>
            <w:bottom w:w="0" w:type="dxa"/>
            <w:right w:w="10" w:type="dxa"/>
          </w:tblCellMar>
        </w:tblPrEx>
        <w:trPr>
          <w:jc w:val="center"/>
        </w:trPr>
        <w:tc>
          <w:tcPr>
            <w:tcW w:w="694" w:type="dxa"/>
            <w:vMerge w:val="restart"/>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spacing w:line="320" w:lineRule="auto"/>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w:t>
            </w:r>
          </w:p>
        </w:tc>
        <w:tc>
          <w:tcPr>
            <w:tcW w:w="1443" w:type="dxa"/>
            <w:vMerge w:val="restart"/>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spacing w:line="320" w:lineRule="auto"/>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资信部分</w:t>
            </w:r>
          </w:p>
          <w:p>
            <w:pPr>
              <w:spacing w:line="320" w:lineRule="auto"/>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评分标准</w:t>
            </w:r>
          </w:p>
          <w:p>
            <w:pPr>
              <w:pStyle w:val="3"/>
              <w:rPr>
                <w:color w:val="auto"/>
                <w:highlight w:val="none"/>
              </w:rPr>
            </w:pPr>
          </w:p>
          <w:p>
            <w:pPr>
              <w:pStyle w:val="3"/>
              <w:rPr>
                <w:color w:val="auto"/>
                <w:highlight w:val="none"/>
              </w:rPr>
            </w:pPr>
          </w:p>
          <w:p>
            <w:pPr>
              <w:pStyle w:val="3"/>
              <w:rPr>
                <w:color w:val="auto"/>
                <w:highlight w:val="none"/>
              </w:rPr>
            </w:pPr>
          </w:p>
          <w:p>
            <w:pPr>
              <w:spacing w:line="320" w:lineRule="auto"/>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（A=2</w:t>
            </w:r>
            <w:r>
              <w:rPr>
                <w:rFonts w:hint="default" w:asciiTheme="minorEastAsia" w:hAnsiTheme="minorEastAsia" w:eastAsiaTheme="minorEastAsia" w:cstheme="minorEastAsia"/>
                <w:color w:val="auto"/>
                <w:sz w:val="24"/>
                <w:szCs w:val="24"/>
                <w:highlight w:val="none"/>
                <w:lang w:val="en-US"/>
              </w:rPr>
              <w:t>8</w:t>
            </w:r>
            <w:r>
              <w:rPr>
                <w:rFonts w:hint="eastAsia" w:asciiTheme="minorEastAsia" w:hAnsiTheme="minorEastAsia" w:eastAsiaTheme="minorEastAsia" w:cstheme="minorEastAsia"/>
                <w:color w:val="auto"/>
                <w:sz w:val="24"/>
                <w:szCs w:val="24"/>
                <w:highlight w:val="none"/>
              </w:rPr>
              <w:t>分）</w:t>
            </w:r>
          </w:p>
        </w:tc>
        <w:tc>
          <w:tcPr>
            <w:tcW w:w="2127" w:type="dxa"/>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spacing w:line="320" w:lineRule="auto"/>
              <w:jc w:val="center"/>
              <w:rPr>
                <w:rFonts w:ascii="宋体" w:hAnsi="宋体" w:cs="宋体"/>
                <w:color w:val="auto"/>
                <w:sz w:val="24"/>
                <w:szCs w:val="24"/>
                <w:highlight w:val="none"/>
              </w:rPr>
            </w:pPr>
            <w:r>
              <w:rPr>
                <w:rFonts w:ascii="宋体" w:hAnsi="宋体" w:cs="宋体"/>
                <w:color w:val="auto"/>
                <w:sz w:val="24"/>
                <w:szCs w:val="24"/>
                <w:highlight w:val="none"/>
              </w:rPr>
              <w:t>企业权威认证</w:t>
            </w:r>
            <w:r>
              <w:rPr>
                <w:rFonts w:hint="eastAsia" w:ascii="宋体" w:hAnsi="宋体" w:cs="宋体"/>
                <w:color w:val="auto"/>
                <w:sz w:val="24"/>
                <w:szCs w:val="24"/>
                <w:highlight w:val="none"/>
              </w:rPr>
              <w:t>及资质（6分）</w:t>
            </w:r>
          </w:p>
        </w:tc>
        <w:tc>
          <w:tcPr>
            <w:tcW w:w="5986" w:type="dxa"/>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numPr>
                <w:ilvl w:val="0"/>
                <w:numId w:val="3"/>
              </w:numPr>
              <w:spacing w:line="360" w:lineRule="exact"/>
              <w:rPr>
                <w:rFonts w:ascii="宋体" w:hAnsi="宋体" w:cs="宋体"/>
                <w:color w:val="auto"/>
                <w:sz w:val="24"/>
                <w:szCs w:val="24"/>
                <w:highlight w:val="none"/>
              </w:rPr>
            </w:pPr>
            <w:r>
              <w:rPr>
                <w:rFonts w:hint="eastAsia" w:ascii="宋体" w:hAnsi="宋体" w:cs="宋体"/>
                <w:color w:val="auto"/>
                <w:sz w:val="24"/>
                <w:szCs w:val="24"/>
                <w:highlight w:val="none"/>
              </w:rPr>
              <w:t>投标人具有ISO9001质量管理体系认证、ISO14001环境管理体系认证、ISO45001职业健康安全管理体系认证、</w:t>
            </w:r>
            <w:r>
              <w:rPr>
                <w:rFonts w:ascii="宋体" w:hAnsi="宋体" w:cs="宋体"/>
                <w:color w:val="auto"/>
                <w:sz w:val="24"/>
                <w:szCs w:val="24"/>
                <w:highlight w:val="none"/>
              </w:rPr>
              <w:t>ISO13485</w:t>
            </w:r>
            <w:r>
              <w:rPr>
                <w:rFonts w:hint="eastAsia" w:ascii="宋体" w:hAnsi="宋体" w:cs="宋体"/>
                <w:color w:val="auto"/>
                <w:sz w:val="24"/>
                <w:szCs w:val="24"/>
                <w:highlight w:val="none"/>
              </w:rPr>
              <w:t>医疗器械质量管理体系认证。</w:t>
            </w:r>
            <w:r>
              <w:rPr>
                <w:rFonts w:ascii="宋体" w:hAnsi="宋体" w:cs="宋体"/>
                <w:color w:val="auto"/>
                <w:sz w:val="24"/>
                <w:szCs w:val="24"/>
                <w:highlight w:val="none"/>
              </w:rPr>
              <w:t>每项认证得</w:t>
            </w:r>
            <w:r>
              <w:rPr>
                <w:rFonts w:hint="eastAsia" w:ascii="宋体" w:hAnsi="宋体" w:cs="宋体"/>
                <w:color w:val="auto"/>
                <w:sz w:val="24"/>
                <w:szCs w:val="24"/>
                <w:highlight w:val="none"/>
              </w:rPr>
              <w:t>1</w:t>
            </w:r>
            <w:r>
              <w:rPr>
                <w:rFonts w:ascii="宋体" w:hAnsi="宋体" w:cs="宋体"/>
                <w:color w:val="auto"/>
                <w:sz w:val="24"/>
                <w:szCs w:val="24"/>
                <w:highlight w:val="none"/>
              </w:rPr>
              <w:t>分，最多得</w:t>
            </w:r>
            <w:r>
              <w:rPr>
                <w:rFonts w:hint="eastAsia" w:ascii="宋体" w:hAnsi="宋体" w:cs="宋体"/>
                <w:color w:val="auto"/>
                <w:sz w:val="24"/>
                <w:szCs w:val="24"/>
                <w:highlight w:val="none"/>
              </w:rPr>
              <w:t>4</w:t>
            </w:r>
            <w:r>
              <w:rPr>
                <w:rFonts w:ascii="宋体" w:hAnsi="宋体" w:cs="宋体"/>
                <w:color w:val="auto"/>
                <w:sz w:val="24"/>
                <w:szCs w:val="24"/>
                <w:highlight w:val="none"/>
              </w:rPr>
              <w:t>分。</w:t>
            </w:r>
          </w:p>
          <w:p>
            <w:pPr>
              <w:pStyle w:val="3"/>
              <w:numPr>
                <w:ilvl w:val="0"/>
                <w:numId w:val="3"/>
              </w:numPr>
              <w:rPr>
                <w:color w:val="auto"/>
                <w:highlight w:val="none"/>
              </w:rPr>
            </w:pPr>
            <w:r>
              <w:rPr>
                <w:rFonts w:hint="eastAsia" w:ascii="宋体" w:hAnsi="宋体" w:cs="宋体"/>
                <w:color w:val="auto"/>
                <w:highlight w:val="none"/>
              </w:rPr>
              <w:t>投标人</w:t>
            </w:r>
            <w:r>
              <w:rPr>
                <w:rFonts w:hint="eastAsia" w:ascii="宋体" w:hAnsi="宋体"/>
                <w:color w:val="auto"/>
                <w:szCs w:val="21"/>
                <w:highlight w:val="none"/>
              </w:rPr>
              <w:t>电子与智能化工程专业承包二级及以上资质的，</w:t>
            </w:r>
            <w:r>
              <w:rPr>
                <w:rFonts w:ascii="宋体" w:hAnsi="宋体" w:cs="宋体"/>
                <w:color w:val="auto"/>
                <w:highlight w:val="none"/>
              </w:rPr>
              <w:t>得</w:t>
            </w:r>
            <w:r>
              <w:rPr>
                <w:rFonts w:hint="eastAsia" w:ascii="宋体" w:hAnsi="宋体" w:cs="宋体"/>
                <w:color w:val="auto"/>
                <w:highlight w:val="none"/>
              </w:rPr>
              <w:t>2</w:t>
            </w:r>
            <w:r>
              <w:rPr>
                <w:rFonts w:ascii="宋体" w:hAnsi="宋体" w:cs="宋体"/>
                <w:color w:val="auto"/>
                <w:highlight w:val="none"/>
              </w:rPr>
              <w:t>分</w:t>
            </w:r>
            <w:r>
              <w:rPr>
                <w:rFonts w:hint="eastAsia" w:ascii="宋体" w:hAnsi="宋体" w:cs="宋体"/>
                <w:color w:val="auto"/>
                <w:szCs w:val="21"/>
                <w:highlight w:val="none"/>
              </w:rPr>
              <w:t>。</w:t>
            </w:r>
          </w:p>
          <w:p>
            <w:pPr>
              <w:pStyle w:val="3"/>
              <w:rPr>
                <w:color w:val="auto"/>
                <w:highlight w:val="none"/>
              </w:rPr>
            </w:pPr>
          </w:p>
          <w:p>
            <w:pPr>
              <w:spacing w:line="360" w:lineRule="exact"/>
              <w:rPr>
                <w:rFonts w:ascii="宋体" w:hAnsi="宋体" w:cs="宋体"/>
                <w:color w:val="auto"/>
                <w:sz w:val="24"/>
                <w:szCs w:val="24"/>
                <w:highlight w:val="none"/>
              </w:rPr>
            </w:pPr>
            <w:r>
              <w:rPr>
                <w:rFonts w:hint="eastAsia" w:ascii="宋体" w:hAnsi="宋体" w:cs="宋体"/>
                <w:b/>
                <w:bCs/>
                <w:color w:val="auto"/>
                <w:sz w:val="24"/>
                <w:szCs w:val="24"/>
                <w:highlight w:val="none"/>
              </w:rPr>
              <w:t>注：投标文件中须提供有效认证证书复印件加盖投标人公章，否则不得分。</w:t>
            </w:r>
          </w:p>
        </w:tc>
      </w:tr>
      <w:tr>
        <w:tblPrEx>
          <w:tblCellMar>
            <w:top w:w="0" w:type="dxa"/>
            <w:left w:w="10" w:type="dxa"/>
            <w:bottom w:w="0" w:type="dxa"/>
            <w:right w:w="10" w:type="dxa"/>
          </w:tblCellMar>
        </w:tblPrEx>
        <w:trPr>
          <w:jc w:val="center"/>
        </w:trPr>
        <w:tc>
          <w:tcPr>
            <w:tcW w:w="694" w:type="dxa"/>
            <w:vMerge w:val="continue"/>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spacing w:after="200" w:line="276" w:lineRule="auto"/>
              <w:jc w:val="left"/>
              <w:rPr>
                <w:rFonts w:asciiTheme="minorEastAsia" w:hAnsiTheme="minorEastAsia" w:eastAsiaTheme="minorEastAsia" w:cstheme="minorEastAsia"/>
                <w:color w:val="auto"/>
                <w:sz w:val="24"/>
                <w:szCs w:val="24"/>
                <w:highlight w:val="none"/>
              </w:rPr>
            </w:pPr>
          </w:p>
        </w:tc>
        <w:tc>
          <w:tcPr>
            <w:tcW w:w="1443" w:type="dxa"/>
            <w:vMerge w:val="continue"/>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spacing w:after="200" w:line="276" w:lineRule="auto"/>
              <w:jc w:val="left"/>
              <w:rPr>
                <w:rFonts w:asciiTheme="minorEastAsia" w:hAnsiTheme="minorEastAsia" w:eastAsiaTheme="minorEastAsia" w:cstheme="minorEastAsia"/>
                <w:color w:val="auto"/>
                <w:sz w:val="24"/>
                <w:szCs w:val="24"/>
                <w:highlight w:val="none"/>
              </w:rPr>
            </w:pPr>
          </w:p>
        </w:tc>
        <w:tc>
          <w:tcPr>
            <w:tcW w:w="2127" w:type="dxa"/>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spacing w:line="32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成功案例及业绩</w:t>
            </w:r>
          </w:p>
          <w:p>
            <w:pPr>
              <w:spacing w:line="32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（6分）</w:t>
            </w:r>
          </w:p>
        </w:tc>
        <w:tc>
          <w:tcPr>
            <w:tcW w:w="5986" w:type="dxa"/>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numPr>
                <w:ilvl w:val="255"/>
                <w:numId w:val="0"/>
              </w:numPr>
              <w:rPr>
                <w:rFonts w:ascii="宋体" w:hAnsi="宋体" w:cs="宋体"/>
                <w:color w:val="auto"/>
                <w:sz w:val="24"/>
                <w:szCs w:val="24"/>
                <w:highlight w:val="none"/>
              </w:rPr>
            </w:pPr>
            <w:r>
              <w:rPr>
                <w:rFonts w:hint="eastAsia" w:ascii="宋体" w:hAnsi="宋体" w:cs="宋体"/>
                <w:color w:val="auto"/>
                <w:sz w:val="24"/>
                <w:szCs w:val="24"/>
                <w:highlight w:val="none"/>
              </w:rPr>
              <w:t>投标人</w:t>
            </w:r>
            <w:r>
              <w:rPr>
                <w:rFonts w:hint="eastAsia" w:ascii="宋体" w:hAnsi="宋体"/>
                <w:color w:val="auto"/>
                <w:sz w:val="24"/>
                <w:szCs w:val="24"/>
                <w:highlight w:val="none"/>
              </w:rPr>
              <w:t>（若联合体投标的，指联合体牵头人）</w:t>
            </w:r>
            <w:r>
              <w:rPr>
                <w:rFonts w:hint="eastAsia" w:ascii="宋体" w:hAnsi="宋体" w:cs="宋体"/>
                <w:color w:val="auto"/>
                <w:sz w:val="24"/>
                <w:szCs w:val="24"/>
                <w:highlight w:val="none"/>
              </w:rPr>
              <w:t>自2017年1月1日起至投标截止日前完成过类似净化项目业绩的，单项合同金额2000万元（不含）--3000万元（含）的，每提供一份的，</w:t>
            </w:r>
            <w:r>
              <w:rPr>
                <w:rFonts w:hint="eastAsia" w:ascii="宋体" w:hAnsi="宋体" w:cs="宋体"/>
                <w:b/>
                <w:color w:val="auto"/>
                <w:sz w:val="24"/>
                <w:szCs w:val="24"/>
                <w:highlight w:val="none"/>
              </w:rPr>
              <w:t>得</w:t>
            </w:r>
            <w:r>
              <w:rPr>
                <w:rFonts w:ascii="宋体" w:hAnsi="宋体" w:cs="宋体"/>
                <w:b/>
                <w:color w:val="auto"/>
                <w:sz w:val="24"/>
                <w:szCs w:val="24"/>
                <w:highlight w:val="none"/>
              </w:rPr>
              <w:t>1</w:t>
            </w:r>
            <w:r>
              <w:rPr>
                <w:rFonts w:hint="eastAsia" w:ascii="宋体" w:hAnsi="宋体" w:cs="宋体"/>
                <w:b/>
                <w:color w:val="auto"/>
                <w:sz w:val="24"/>
                <w:szCs w:val="24"/>
                <w:highlight w:val="none"/>
              </w:rPr>
              <w:t>分；</w:t>
            </w:r>
            <w:r>
              <w:rPr>
                <w:rFonts w:hint="eastAsia" w:ascii="宋体" w:hAnsi="宋体" w:cs="宋体"/>
                <w:color w:val="auto"/>
                <w:sz w:val="24"/>
                <w:szCs w:val="24"/>
                <w:highlight w:val="none"/>
              </w:rPr>
              <w:t>单项合同金额大于3000万元的，每提供一份</w:t>
            </w:r>
            <w:r>
              <w:rPr>
                <w:rFonts w:hint="eastAsia" w:ascii="宋体" w:hAnsi="宋体" w:cs="宋体"/>
                <w:b/>
                <w:color w:val="auto"/>
                <w:sz w:val="24"/>
                <w:szCs w:val="24"/>
                <w:highlight w:val="none"/>
              </w:rPr>
              <w:t>得</w:t>
            </w:r>
            <w:r>
              <w:rPr>
                <w:rFonts w:hint="eastAsia" w:ascii="宋体" w:hAnsi="宋体" w:cs="宋体"/>
                <w:color w:val="auto"/>
                <w:sz w:val="24"/>
                <w:szCs w:val="24"/>
                <w:highlight w:val="none"/>
              </w:rPr>
              <w:t>2分；</w:t>
            </w:r>
            <w:r>
              <w:rPr>
                <w:rFonts w:hint="eastAsia" w:ascii="宋体" w:hAnsi="宋体" w:cs="宋体"/>
                <w:b/>
                <w:color w:val="auto"/>
                <w:sz w:val="24"/>
                <w:szCs w:val="24"/>
                <w:highlight w:val="none"/>
              </w:rPr>
              <w:t>本项最多提供3个业绩，最高得6分</w:t>
            </w:r>
            <w:r>
              <w:rPr>
                <w:rFonts w:hint="eastAsia" w:ascii="宋体" w:hAnsi="宋体" w:cs="宋体"/>
                <w:color w:val="auto"/>
                <w:sz w:val="24"/>
                <w:szCs w:val="24"/>
                <w:highlight w:val="none"/>
              </w:rPr>
              <w:t>。</w:t>
            </w:r>
          </w:p>
          <w:p>
            <w:pPr>
              <w:rPr>
                <w:color w:val="auto"/>
                <w:highlight w:val="none"/>
              </w:rPr>
            </w:pPr>
          </w:p>
          <w:p>
            <w:pPr>
              <w:rPr>
                <w:rFonts w:ascii="宋体" w:hAnsi="宋体" w:cs="宋体"/>
                <w:color w:val="auto"/>
                <w:sz w:val="24"/>
                <w:szCs w:val="24"/>
                <w:highlight w:val="none"/>
              </w:rPr>
            </w:pPr>
            <w:r>
              <w:rPr>
                <w:rFonts w:hint="eastAsia" w:ascii="宋体" w:hAnsi="宋体" w:cs="宋体"/>
                <w:b/>
                <w:bCs/>
                <w:color w:val="auto"/>
                <w:sz w:val="24"/>
                <w:szCs w:val="24"/>
                <w:highlight w:val="none"/>
              </w:rPr>
              <w:t>注：投标文件中须提供业绩证明材料包括中标通知书（或合同）、竣工证明（时间以竣工验证明上的时间为准）的复印件加盖投标人公章，若缺其中任何一项则业绩不予认可。</w:t>
            </w:r>
          </w:p>
        </w:tc>
      </w:tr>
      <w:tr>
        <w:tblPrEx>
          <w:tblCellMar>
            <w:top w:w="0" w:type="dxa"/>
            <w:left w:w="10" w:type="dxa"/>
            <w:bottom w:w="0" w:type="dxa"/>
            <w:right w:w="10" w:type="dxa"/>
          </w:tblCellMar>
        </w:tblPrEx>
        <w:trPr>
          <w:jc w:val="center"/>
        </w:trPr>
        <w:tc>
          <w:tcPr>
            <w:tcW w:w="694" w:type="dxa"/>
            <w:vMerge w:val="continue"/>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spacing w:after="200" w:line="276" w:lineRule="auto"/>
              <w:jc w:val="left"/>
              <w:rPr>
                <w:rFonts w:asciiTheme="minorEastAsia" w:hAnsiTheme="minorEastAsia" w:eastAsiaTheme="minorEastAsia" w:cstheme="minorEastAsia"/>
                <w:color w:val="auto"/>
                <w:sz w:val="24"/>
                <w:szCs w:val="24"/>
                <w:highlight w:val="none"/>
              </w:rPr>
            </w:pPr>
          </w:p>
        </w:tc>
        <w:tc>
          <w:tcPr>
            <w:tcW w:w="1443" w:type="dxa"/>
            <w:vMerge w:val="continue"/>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spacing w:after="200" w:line="276" w:lineRule="auto"/>
              <w:jc w:val="left"/>
              <w:rPr>
                <w:rFonts w:asciiTheme="minorEastAsia" w:hAnsiTheme="minorEastAsia" w:eastAsiaTheme="minorEastAsia" w:cstheme="minorEastAsia"/>
                <w:color w:val="auto"/>
                <w:sz w:val="24"/>
                <w:szCs w:val="24"/>
                <w:highlight w:val="none"/>
              </w:rPr>
            </w:pPr>
          </w:p>
        </w:tc>
        <w:tc>
          <w:tcPr>
            <w:tcW w:w="2127" w:type="dxa"/>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spacing w:line="32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人员配备（3分）</w:t>
            </w:r>
          </w:p>
        </w:tc>
        <w:tc>
          <w:tcPr>
            <w:tcW w:w="5986" w:type="dxa"/>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numPr>
                <w:ilvl w:val="0"/>
                <w:numId w:val="4"/>
              </w:numPr>
              <w:spacing w:line="320" w:lineRule="auto"/>
              <w:rPr>
                <w:rFonts w:ascii="宋体" w:hAnsi="宋体" w:cs="宋体"/>
                <w:color w:val="auto"/>
                <w:sz w:val="24"/>
                <w:szCs w:val="24"/>
                <w:highlight w:val="none"/>
              </w:rPr>
            </w:pPr>
            <w:r>
              <w:rPr>
                <w:rFonts w:hint="eastAsia" w:ascii="宋体" w:hAnsi="宋体" w:cs="宋体"/>
                <w:color w:val="auto"/>
                <w:sz w:val="24"/>
                <w:szCs w:val="24"/>
                <w:highlight w:val="none"/>
              </w:rPr>
              <w:t>拟派项目负责人具备高级工程师及以上专业技术职称的，得1.5分；具备工程师专业技术职称的，得0.5分；其余不得分。本项最高得1.5分；</w:t>
            </w:r>
          </w:p>
          <w:p>
            <w:pPr>
              <w:numPr>
                <w:ilvl w:val="0"/>
                <w:numId w:val="4"/>
              </w:numPr>
              <w:spacing w:line="320" w:lineRule="auto"/>
              <w:rPr>
                <w:rFonts w:ascii="宋体" w:hAnsi="宋体" w:cs="宋体"/>
                <w:color w:val="auto"/>
                <w:sz w:val="24"/>
                <w:szCs w:val="24"/>
                <w:highlight w:val="none"/>
              </w:rPr>
            </w:pPr>
            <w:r>
              <w:rPr>
                <w:rFonts w:hint="eastAsia" w:ascii="宋体" w:hAnsi="宋体" w:cs="宋体"/>
                <w:color w:val="auto"/>
                <w:sz w:val="24"/>
                <w:szCs w:val="24"/>
                <w:highlight w:val="none"/>
              </w:rPr>
              <w:t>拟派的技术负责人具有高级工程师及以上职称的，得1.5分；具有工程师职称的，得0.5分，其余均不得分。本项最高得1.5分。</w:t>
            </w:r>
          </w:p>
          <w:p>
            <w:pPr>
              <w:spacing w:line="32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本项最高得3分。</w:t>
            </w:r>
          </w:p>
          <w:p>
            <w:pPr>
              <w:spacing w:line="360" w:lineRule="exact"/>
              <w:rPr>
                <w:rFonts w:ascii="宋体" w:hAnsi="宋体" w:cs="宋体"/>
                <w:color w:val="auto"/>
                <w:sz w:val="24"/>
                <w:szCs w:val="24"/>
                <w:highlight w:val="none"/>
              </w:rPr>
            </w:pPr>
            <w:r>
              <w:rPr>
                <w:rFonts w:hint="eastAsia" w:ascii="宋体" w:hAnsi="宋体" w:cs="宋体"/>
                <w:b/>
                <w:bCs/>
                <w:color w:val="auto"/>
                <w:sz w:val="24"/>
                <w:szCs w:val="24"/>
                <w:highlight w:val="none"/>
              </w:rPr>
              <w:t>注：</w:t>
            </w:r>
            <w:r>
              <w:rPr>
                <w:rFonts w:hint="eastAsia" w:ascii="宋体" w:hAnsi="宋体" w:cs="宋体"/>
                <w:color w:val="auto"/>
                <w:kern w:val="2"/>
                <w:sz w:val="24"/>
                <w:szCs w:val="24"/>
                <w:highlight w:val="none"/>
              </w:rPr>
              <w:t xml:space="preserve">投标文件中提供证书复印件，同时须提供拟派项目负责人缴费期限包含 </w:t>
            </w:r>
            <w:r>
              <w:rPr>
                <w:rFonts w:hint="eastAsia" w:ascii="宋体" w:hAnsi="宋体" w:cs="宋体"/>
                <w:b/>
                <w:bCs/>
                <w:color w:val="auto"/>
                <w:kern w:val="2"/>
                <w:sz w:val="24"/>
                <w:szCs w:val="24"/>
                <w:highlight w:val="none"/>
              </w:rPr>
              <w:t>202</w:t>
            </w:r>
            <w:r>
              <w:rPr>
                <w:rFonts w:hint="eastAsia" w:ascii="宋体" w:hAnsi="宋体" w:cs="宋体"/>
                <w:b/>
                <w:bCs/>
                <w:color w:val="auto"/>
                <w:kern w:val="2"/>
                <w:sz w:val="24"/>
                <w:szCs w:val="24"/>
                <w:highlight w:val="none"/>
                <w:lang w:val="en-US" w:eastAsia="zh-CN"/>
              </w:rPr>
              <w:t>2</w:t>
            </w:r>
            <w:r>
              <w:rPr>
                <w:rFonts w:hint="eastAsia" w:ascii="宋体" w:hAnsi="宋体" w:cs="宋体"/>
                <w:b/>
                <w:bCs/>
                <w:color w:val="auto"/>
                <w:kern w:val="2"/>
                <w:sz w:val="24"/>
                <w:szCs w:val="24"/>
                <w:highlight w:val="none"/>
              </w:rPr>
              <w:t>年</w:t>
            </w:r>
            <w:r>
              <w:rPr>
                <w:rFonts w:hint="eastAsia" w:ascii="宋体" w:hAnsi="宋体" w:cs="宋体"/>
                <w:b/>
                <w:bCs/>
                <w:color w:val="auto"/>
                <w:kern w:val="2"/>
                <w:sz w:val="24"/>
                <w:szCs w:val="24"/>
                <w:highlight w:val="none"/>
                <w:lang w:val="en-US" w:eastAsia="zh-CN"/>
              </w:rPr>
              <w:t>3</w:t>
            </w:r>
            <w:r>
              <w:rPr>
                <w:rFonts w:hint="eastAsia" w:ascii="宋体" w:hAnsi="宋体" w:cs="宋体"/>
                <w:b/>
                <w:bCs/>
                <w:color w:val="auto"/>
                <w:kern w:val="2"/>
                <w:sz w:val="24"/>
                <w:szCs w:val="24"/>
                <w:highlight w:val="none"/>
              </w:rPr>
              <w:t>月至 2022年</w:t>
            </w:r>
            <w:r>
              <w:rPr>
                <w:rFonts w:hint="eastAsia" w:ascii="宋体" w:hAnsi="宋体" w:cs="宋体"/>
                <w:b/>
                <w:bCs/>
                <w:color w:val="auto"/>
                <w:kern w:val="2"/>
                <w:sz w:val="24"/>
                <w:szCs w:val="24"/>
                <w:highlight w:val="none"/>
                <w:lang w:val="en-US" w:eastAsia="zh-CN"/>
              </w:rPr>
              <w:t>5</w:t>
            </w:r>
            <w:r>
              <w:rPr>
                <w:rFonts w:hint="eastAsia" w:ascii="宋体" w:hAnsi="宋体" w:cs="宋体"/>
                <w:b/>
                <w:bCs/>
                <w:color w:val="auto"/>
                <w:kern w:val="2"/>
                <w:sz w:val="24"/>
                <w:szCs w:val="24"/>
                <w:highlight w:val="none"/>
              </w:rPr>
              <w:t>月的投标人所属社保机构养老保险交纳清单或证明</w:t>
            </w:r>
            <w:r>
              <w:rPr>
                <w:rFonts w:hint="eastAsia" w:ascii="宋体" w:hAnsi="宋体" w:cs="宋体"/>
                <w:color w:val="auto"/>
                <w:kern w:val="2"/>
                <w:sz w:val="24"/>
                <w:szCs w:val="24"/>
                <w:highlight w:val="none"/>
              </w:rPr>
              <w:t>（缴费单位和投标单位名称必须一致，并加盖社保缴费证明专用章，非独立法人的分公司社保证明有效），否则不得分</w:t>
            </w:r>
            <w:r>
              <w:rPr>
                <w:rFonts w:hint="eastAsia" w:ascii="宋体" w:hAnsi="宋体" w:cs="宋体"/>
                <w:b/>
                <w:bCs/>
                <w:color w:val="auto"/>
                <w:sz w:val="24"/>
                <w:szCs w:val="24"/>
                <w:highlight w:val="none"/>
              </w:rPr>
              <w:t>。</w:t>
            </w:r>
          </w:p>
        </w:tc>
      </w:tr>
      <w:tr>
        <w:tblPrEx>
          <w:tblCellMar>
            <w:top w:w="0" w:type="dxa"/>
            <w:left w:w="10" w:type="dxa"/>
            <w:bottom w:w="0" w:type="dxa"/>
            <w:right w:w="10" w:type="dxa"/>
          </w:tblCellMar>
        </w:tblPrEx>
        <w:trPr>
          <w:jc w:val="center"/>
        </w:trPr>
        <w:tc>
          <w:tcPr>
            <w:tcW w:w="694" w:type="dxa"/>
            <w:vMerge w:val="continue"/>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spacing w:after="200" w:line="276" w:lineRule="auto"/>
              <w:jc w:val="left"/>
              <w:rPr>
                <w:rFonts w:asciiTheme="minorEastAsia" w:hAnsiTheme="minorEastAsia" w:eastAsiaTheme="minorEastAsia" w:cstheme="minorEastAsia"/>
                <w:color w:val="auto"/>
                <w:sz w:val="24"/>
                <w:szCs w:val="24"/>
                <w:highlight w:val="none"/>
              </w:rPr>
            </w:pPr>
          </w:p>
        </w:tc>
        <w:tc>
          <w:tcPr>
            <w:tcW w:w="1443" w:type="dxa"/>
            <w:vMerge w:val="continue"/>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spacing w:after="200" w:line="276" w:lineRule="auto"/>
              <w:jc w:val="left"/>
              <w:rPr>
                <w:rFonts w:asciiTheme="minorEastAsia" w:hAnsiTheme="minorEastAsia" w:eastAsiaTheme="minorEastAsia" w:cstheme="minorEastAsia"/>
                <w:color w:val="auto"/>
                <w:sz w:val="24"/>
                <w:szCs w:val="24"/>
                <w:highlight w:val="none"/>
              </w:rPr>
            </w:pPr>
          </w:p>
        </w:tc>
        <w:tc>
          <w:tcPr>
            <w:tcW w:w="2127" w:type="dxa"/>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spacing w:line="320" w:lineRule="auto"/>
              <w:jc w:val="center"/>
              <w:rPr>
                <w:rFonts w:ascii="宋体" w:hAnsi="宋体" w:cs="宋体"/>
                <w:color w:val="auto"/>
                <w:szCs w:val="21"/>
                <w:highlight w:val="none"/>
              </w:rPr>
            </w:pPr>
            <w:r>
              <w:rPr>
                <w:rFonts w:hint="eastAsia" w:ascii="宋体" w:hAnsi="宋体" w:cs="宋体"/>
                <w:color w:val="auto"/>
                <w:sz w:val="24"/>
                <w:szCs w:val="24"/>
                <w:highlight w:val="none"/>
              </w:rPr>
              <w:t>项目负责人业绩</w:t>
            </w:r>
          </w:p>
          <w:p>
            <w:pPr>
              <w:spacing w:line="32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（4分）</w:t>
            </w:r>
          </w:p>
        </w:tc>
        <w:tc>
          <w:tcPr>
            <w:tcW w:w="5986" w:type="dxa"/>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rPr>
                <w:rFonts w:ascii="宋体" w:hAnsi="宋体" w:cs="宋体"/>
                <w:color w:val="auto"/>
                <w:sz w:val="24"/>
                <w:szCs w:val="24"/>
                <w:highlight w:val="none"/>
              </w:rPr>
            </w:pPr>
            <w:r>
              <w:rPr>
                <w:rFonts w:hint="eastAsia" w:ascii="宋体" w:hAnsi="宋体" w:cs="宋体"/>
                <w:color w:val="auto"/>
                <w:sz w:val="24"/>
                <w:szCs w:val="24"/>
                <w:highlight w:val="none"/>
              </w:rPr>
              <w:t>拟派项目负责人自2017年1月1日至投标截止日止，完成过单项金额2000（含）-3000万元（不含）的类似净化工程施工业绩的，每项业绩得1分；完成过单项金额3000万元及以上的类似净化工程施工业绩的，每项业绩得2分。本项最多提供2个业绩，最高得4分。</w:t>
            </w:r>
          </w:p>
          <w:p>
            <w:pPr>
              <w:rPr>
                <w:rFonts w:ascii="宋体" w:hAnsi="宋体" w:cs="宋体"/>
                <w:color w:val="auto"/>
                <w:sz w:val="24"/>
                <w:szCs w:val="24"/>
                <w:highlight w:val="none"/>
              </w:rPr>
            </w:pPr>
            <w:r>
              <w:rPr>
                <w:rFonts w:hint="eastAsia" w:ascii="宋体" w:hAnsi="宋体" w:cs="宋体"/>
                <w:color w:val="auto"/>
                <w:sz w:val="24"/>
                <w:szCs w:val="24"/>
                <w:highlight w:val="none"/>
              </w:rPr>
              <w:t>注：业绩证明材料必须同时提供中标通知书（或合同须体现项目负责人）和竣工证明（时间以竣工证明上的时间为准）的复印件加盖投标人公章，二者必须兼备，若缺其中任何一项则业绩不予认可</w:t>
            </w:r>
            <w:r>
              <w:rPr>
                <w:rFonts w:hint="eastAsia" w:ascii="宋体" w:hAnsi="宋体" w:cs="宋体"/>
                <w:color w:val="auto"/>
                <w:kern w:val="2"/>
                <w:sz w:val="24"/>
                <w:szCs w:val="24"/>
                <w:highlight w:val="none"/>
              </w:rPr>
              <w:t>。</w:t>
            </w:r>
          </w:p>
        </w:tc>
      </w:tr>
      <w:tr>
        <w:tblPrEx>
          <w:tblCellMar>
            <w:top w:w="0" w:type="dxa"/>
            <w:left w:w="10" w:type="dxa"/>
            <w:bottom w:w="0" w:type="dxa"/>
            <w:right w:w="10" w:type="dxa"/>
          </w:tblCellMar>
        </w:tblPrEx>
        <w:trPr>
          <w:jc w:val="center"/>
        </w:trPr>
        <w:tc>
          <w:tcPr>
            <w:tcW w:w="694" w:type="dxa"/>
            <w:vMerge w:val="continue"/>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spacing w:after="200" w:line="276" w:lineRule="auto"/>
              <w:jc w:val="left"/>
              <w:rPr>
                <w:rFonts w:asciiTheme="minorEastAsia" w:hAnsiTheme="minorEastAsia" w:eastAsiaTheme="minorEastAsia" w:cstheme="minorEastAsia"/>
                <w:color w:val="auto"/>
                <w:sz w:val="24"/>
                <w:szCs w:val="24"/>
                <w:highlight w:val="none"/>
              </w:rPr>
            </w:pPr>
          </w:p>
        </w:tc>
        <w:tc>
          <w:tcPr>
            <w:tcW w:w="1443" w:type="dxa"/>
            <w:vMerge w:val="continue"/>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spacing w:after="200" w:line="276" w:lineRule="auto"/>
              <w:jc w:val="left"/>
              <w:rPr>
                <w:rFonts w:asciiTheme="minorEastAsia" w:hAnsiTheme="minorEastAsia" w:eastAsiaTheme="minorEastAsia" w:cstheme="minorEastAsia"/>
                <w:color w:val="auto"/>
                <w:sz w:val="24"/>
                <w:szCs w:val="24"/>
                <w:highlight w:val="none"/>
              </w:rPr>
            </w:pPr>
          </w:p>
        </w:tc>
        <w:tc>
          <w:tcPr>
            <w:tcW w:w="2127" w:type="dxa"/>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spacing w:line="32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质保期优惠</w:t>
            </w:r>
          </w:p>
          <w:p>
            <w:pPr>
              <w:spacing w:line="32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（6分）</w:t>
            </w:r>
          </w:p>
        </w:tc>
        <w:tc>
          <w:tcPr>
            <w:tcW w:w="5986" w:type="dxa"/>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tabs>
                <w:tab w:val="left" w:pos="3060"/>
              </w:tabs>
              <w:spacing w:line="320" w:lineRule="auto"/>
              <w:rPr>
                <w:rFonts w:ascii="宋体" w:hAnsi="宋体" w:cs="宋体"/>
                <w:color w:val="auto"/>
                <w:sz w:val="24"/>
                <w:szCs w:val="24"/>
                <w:highlight w:val="none"/>
              </w:rPr>
            </w:pPr>
            <w:r>
              <w:rPr>
                <w:rFonts w:hint="eastAsia" w:ascii="宋体" w:hAnsi="宋体" w:cs="宋体"/>
                <w:color w:val="auto"/>
                <w:sz w:val="24"/>
                <w:szCs w:val="24"/>
                <w:highlight w:val="none"/>
              </w:rPr>
              <w:t>质保期期限仅满足招标文件规定的质保期要求的得0分，质保期期限超过招标文件规定的质保期每12个月的得2分，最高得6分。</w:t>
            </w:r>
          </w:p>
          <w:p>
            <w:pPr>
              <w:tabs>
                <w:tab w:val="left" w:pos="3060"/>
              </w:tabs>
              <w:rPr>
                <w:rFonts w:ascii="宋体" w:hAnsi="宋体" w:cs="宋体"/>
                <w:b/>
                <w:bCs/>
                <w:color w:val="auto"/>
                <w:sz w:val="24"/>
                <w:szCs w:val="24"/>
                <w:highlight w:val="none"/>
              </w:rPr>
            </w:pPr>
            <w:r>
              <w:rPr>
                <w:rFonts w:hint="eastAsia" w:ascii="宋体" w:hAnsi="宋体" w:cs="宋体"/>
                <w:color w:val="auto"/>
                <w:sz w:val="24"/>
                <w:szCs w:val="24"/>
                <w:highlight w:val="none"/>
              </w:rPr>
              <w:t>注：质保期优惠包含人工、差旅住宿费、材料及配件费等质保期间产生的一切费用</w:t>
            </w:r>
            <w:r>
              <w:rPr>
                <w:rFonts w:hint="eastAsia" w:ascii="宋体" w:hAnsi="宋体" w:cs="宋体"/>
                <w:color w:val="auto"/>
                <w:kern w:val="2"/>
                <w:sz w:val="24"/>
                <w:szCs w:val="24"/>
                <w:highlight w:val="none"/>
              </w:rPr>
              <w:t>。</w:t>
            </w:r>
          </w:p>
        </w:tc>
      </w:tr>
      <w:tr>
        <w:tblPrEx>
          <w:tblCellMar>
            <w:top w:w="0" w:type="dxa"/>
            <w:left w:w="10" w:type="dxa"/>
            <w:bottom w:w="0" w:type="dxa"/>
            <w:right w:w="10" w:type="dxa"/>
          </w:tblCellMar>
        </w:tblPrEx>
        <w:trPr>
          <w:jc w:val="center"/>
        </w:trPr>
        <w:tc>
          <w:tcPr>
            <w:tcW w:w="694" w:type="dxa"/>
            <w:vMerge w:val="continue"/>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spacing w:after="200" w:line="276" w:lineRule="auto"/>
              <w:jc w:val="left"/>
              <w:rPr>
                <w:rFonts w:asciiTheme="minorEastAsia" w:hAnsiTheme="minorEastAsia" w:eastAsiaTheme="minorEastAsia" w:cstheme="minorEastAsia"/>
                <w:color w:val="auto"/>
                <w:sz w:val="24"/>
                <w:szCs w:val="24"/>
                <w:highlight w:val="none"/>
              </w:rPr>
            </w:pPr>
          </w:p>
        </w:tc>
        <w:tc>
          <w:tcPr>
            <w:tcW w:w="1443" w:type="dxa"/>
            <w:vMerge w:val="continue"/>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spacing w:after="200" w:line="276" w:lineRule="auto"/>
              <w:jc w:val="left"/>
              <w:rPr>
                <w:rFonts w:asciiTheme="minorEastAsia" w:hAnsiTheme="minorEastAsia" w:eastAsiaTheme="minorEastAsia" w:cstheme="minorEastAsia"/>
                <w:color w:val="auto"/>
                <w:sz w:val="24"/>
                <w:szCs w:val="24"/>
                <w:highlight w:val="none"/>
              </w:rPr>
            </w:pPr>
          </w:p>
        </w:tc>
        <w:tc>
          <w:tcPr>
            <w:tcW w:w="2127" w:type="dxa"/>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spacing w:line="32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售后服务方案、维修响应时间及承诺（3分）</w:t>
            </w:r>
          </w:p>
        </w:tc>
        <w:tc>
          <w:tcPr>
            <w:tcW w:w="5986" w:type="dxa"/>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spacing w:line="280" w:lineRule="exact"/>
              <w:ind w:firstLine="480" w:firstLineChars="200"/>
              <w:rPr>
                <w:rFonts w:ascii="宋体" w:hAnsi="宋体"/>
                <w:color w:val="auto"/>
                <w:sz w:val="24"/>
                <w:szCs w:val="24"/>
                <w:highlight w:val="none"/>
              </w:rPr>
            </w:pPr>
            <w:r>
              <w:rPr>
                <w:rFonts w:hint="eastAsia" w:ascii="宋体" w:hAnsi="宋体"/>
                <w:color w:val="auto"/>
                <w:sz w:val="24"/>
                <w:szCs w:val="24"/>
                <w:highlight w:val="none"/>
              </w:rPr>
              <w:t>1、售后服务方案全面周到的得2分，售后服务方案不全面或明显缺陷的得1分，无售后服务方案的不得分；本小项最多得2分。</w:t>
            </w:r>
          </w:p>
          <w:p>
            <w:pPr>
              <w:ind w:firstLine="480" w:firstLineChars="200"/>
              <w:rPr>
                <w:color w:val="auto"/>
                <w:sz w:val="24"/>
                <w:szCs w:val="24"/>
                <w:highlight w:val="none"/>
              </w:rPr>
            </w:pPr>
            <w:r>
              <w:rPr>
                <w:rFonts w:hint="eastAsia" w:ascii="宋体" w:hAnsi="宋体"/>
                <w:color w:val="auto"/>
                <w:sz w:val="24"/>
                <w:szCs w:val="24"/>
                <w:highlight w:val="none"/>
              </w:rPr>
              <w:t>2、承诺接到招标人报修通知后 2 小时内到达现场响应的得1分；本小项最多得1分。</w:t>
            </w:r>
          </w:p>
          <w:p>
            <w:pPr>
              <w:spacing w:line="280" w:lineRule="exact"/>
              <w:ind w:firstLine="480" w:firstLineChars="200"/>
              <w:rPr>
                <w:rFonts w:ascii="宋体" w:hAnsi="宋体" w:cs="宋体"/>
                <w:color w:val="auto"/>
                <w:sz w:val="24"/>
                <w:szCs w:val="24"/>
                <w:highlight w:val="none"/>
              </w:rPr>
            </w:pPr>
          </w:p>
        </w:tc>
      </w:tr>
      <w:tr>
        <w:tblPrEx>
          <w:tblCellMar>
            <w:top w:w="0" w:type="dxa"/>
            <w:left w:w="10" w:type="dxa"/>
            <w:bottom w:w="0" w:type="dxa"/>
            <w:right w:w="10" w:type="dxa"/>
          </w:tblCellMar>
        </w:tblPrEx>
        <w:trPr>
          <w:jc w:val="center"/>
        </w:trPr>
        <w:tc>
          <w:tcPr>
            <w:tcW w:w="694" w:type="dxa"/>
            <w:vMerge w:val="restart"/>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spacing w:line="320" w:lineRule="auto"/>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w:t>
            </w:r>
          </w:p>
        </w:tc>
        <w:tc>
          <w:tcPr>
            <w:tcW w:w="1443" w:type="dxa"/>
            <w:vMerge w:val="restart"/>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spacing w:line="32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技术部分评分标准（B=3</w:t>
            </w:r>
            <w:r>
              <w:rPr>
                <w:rFonts w:hint="default" w:ascii="宋体" w:hAnsi="宋体" w:cs="宋体"/>
                <w:color w:val="auto"/>
                <w:sz w:val="24"/>
                <w:szCs w:val="24"/>
                <w:highlight w:val="none"/>
                <w:lang w:val="en-US"/>
              </w:rPr>
              <w:t>2</w:t>
            </w:r>
            <w:r>
              <w:rPr>
                <w:rFonts w:hint="eastAsia" w:ascii="宋体" w:hAnsi="宋体" w:cs="宋体"/>
                <w:color w:val="auto"/>
                <w:sz w:val="24"/>
                <w:szCs w:val="24"/>
                <w:highlight w:val="none"/>
              </w:rPr>
              <w:t>分）</w:t>
            </w:r>
          </w:p>
        </w:tc>
        <w:tc>
          <w:tcPr>
            <w:tcW w:w="2127" w:type="dxa"/>
            <w:vMerge w:val="restart"/>
            <w:tcBorders>
              <w:top w:val="single" w:color="000000" w:sz="12" w:space="0"/>
              <w:left w:val="single" w:color="000000" w:sz="12" w:space="0"/>
              <w:right w:val="single" w:color="000000" w:sz="12" w:space="0"/>
            </w:tcBorders>
            <w:shd w:val="clear" w:color="000000" w:fill="FFFFFF"/>
            <w:tcMar>
              <w:left w:w="108" w:type="dxa"/>
              <w:right w:w="108" w:type="dxa"/>
            </w:tcMar>
            <w:vAlign w:val="center"/>
          </w:tcPr>
          <w:p>
            <w:pPr>
              <w:rPr>
                <w:color w:val="auto"/>
                <w:sz w:val="24"/>
                <w:szCs w:val="24"/>
                <w:highlight w:val="none"/>
              </w:rPr>
            </w:pPr>
            <w:r>
              <w:rPr>
                <w:rFonts w:hint="eastAsia" w:ascii="宋体" w:hAnsi="宋体" w:cs="宋体"/>
                <w:color w:val="auto"/>
                <w:sz w:val="24"/>
                <w:szCs w:val="24"/>
                <w:highlight w:val="none"/>
              </w:rPr>
              <w:t>投标人所投材料设备的品牌、质量档次、性能、先进性、稳定性、耐用性及可靠性等（</w:t>
            </w:r>
            <w:r>
              <w:rPr>
                <w:rFonts w:ascii="宋体" w:hAnsi="宋体" w:cs="宋体"/>
                <w:color w:val="auto"/>
                <w:sz w:val="24"/>
                <w:szCs w:val="24"/>
                <w:highlight w:val="none"/>
              </w:rPr>
              <w:t>1</w:t>
            </w:r>
            <w:r>
              <w:rPr>
                <w:rFonts w:hint="eastAsia" w:ascii="宋体" w:hAnsi="宋体" w:cs="宋体"/>
                <w:color w:val="auto"/>
                <w:sz w:val="24"/>
                <w:szCs w:val="24"/>
                <w:highlight w:val="none"/>
              </w:rPr>
              <w:t>0分）</w:t>
            </w:r>
          </w:p>
          <w:p>
            <w:pPr>
              <w:jc w:val="center"/>
              <w:rPr>
                <w:rFonts w:ascii="宋体" w:hAnsi="宋体" w:cs="宋体"/>
                <w:color w:val="auto"/>
                <w:sz w:val="24"/>
                <w:szCs w:val="24"/>
                <w:highlight w:val="none"/>
              </w:rPr>
            </w:pPr>
          </w:p>
        </w:tc>
        <w:tc>
          <w:tcPr>
            <w:tcW w:w="5986" w:type="dxa"/>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tcPr>
          <w:p>
            <w:pPr>
              <w:adjustRightInd w:val="0"/>
              <w:snapToGrid w:val="0"/>
              <w:spacing w:line="280" w:lineRule="exact"/>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投标人所投装饰、空调系统、强弱电系统和给排水材料和设备的技术先进性、可靠性、稳定性等方面评审。</w:t>
            </w:r>
          </w:p>
          <w:p>
            <w:pPr>
              <w:spacing w:line="360" w:lineRule="exact"/>
              <w:rPr>
                <w:rFonts w:ascii="宋体" w:hAnsi="宋体" w:cs="宋体"/>
                <w:color w:val="auto"/>
                <w:sz w:val="24"/>
                <w:szCs w:val="24"/>
                <w:highlight w:val="none"/>
              </w:rPr>
            </w:pPr>
            <w:r>
              <w:rPr>
                <w:rFonts w:hint="eastAsia" w:ascii="宋体" w:hAnsi="宋体" w:cs="宋体"/>
                <w:color w:val="auto"/>
                <w:sz w:val="24"/>
                <w:szCs w:val="24"/>
                <w:highlight w:val="none"/>
              </w:rPr>
              <w:t>优秀得6.1-8.0分、良好得3.1-6.0分、一般得0-3.0分。</w:t>
            </w:r>
          </w:p>
        </w:tc>
      </w:tr>
      <w:tr>
        <w:tblPrEx>
          <w:tblCellMar>
            <w:top w:w="0" w:type="dxa"/>
            <w:left w:w="10" w:type="dxa"/>
            <w:bottom w:w="0" w:type="dxa"/>
            <w:right w:w="10" w:type="dxa"/>
          </w:tblCellMar>
        </w:tblPrEx>
        <w:trPr>
          <w:jc w:val="center"/>
        </w:trPr>
        <w:tc>
          <w:tcPr>
            <w:tcW w:w="694" w:type="dxa"/>
            <w:vMerge w:val="continue"/>
            <w:tcBorders>
              <w:left w:val="single" w:color="000000" w:sz="12" w:space="0"/>
              <w:right w:val="single" w:color="000000" w:sz="12" w:space="0"/>
            </w:tcBorders>
            <w:shd w:val="clear" w:color="000000" w:fill="FFFFFF"/>
            <w:tcMar>
              <w:left w:w="108" w:type="dxa"/>
              <w:right w:w="108" w:type="dxa"/>
            </w:tcMar>
            <w:vAlign w:val="center"/>
          </w:tcPr>
          <w:p>
            <w:pPr>
              <w:spacing w:line="320" w:lineRule="auto"/>
              <w:jc w:val="center"/>
              <w:rPr>
                <w:rFonts w:asciiTheme="minorEastAsia" w:hAnsiTheme="minorEastAsia" w:eastAsiaTheme="minorEastAsia" w:cstheme="minorEastAsia"/>
                <w:color w:val="auto"/>
                <w:sz w:val="24"/>
                <w:szCs w:val="24"/>
                <w:highlight w:val="none"/>
              </w:rPr>
            </w:pPr>
          </w:p>
        </w:tc>
        <w:tc>
          <w:tcPr>
            <w:tcW w:w="1443" w:type="dxa"/>
            <w:vMerge w:val="continue"/>
            <w:tcBorders>
              <w:left w:val="single" w:color="000000" w:sz="12" w:space="0"/>
              <w:right w:val="single" w:color="000000" w:sz="12" w:space="0"/>
            </w:tcBorders>
            <w:shd w:val="clear" w:color="000000" w:fill="FFFFFF"/>
            <w:tcMar>
              <w:left w:w="108" w:type="dxa"/>
              <w:right w:w="108" w:type="dxa"/>
            </w:tcMar>
            <w:vAlign w:val="center"/>
          </w:tcPr>
          <w:p>
            <w:pPr>
              <w:spacing w:line="320" w:lineRule="auto"/>
              <w:jc w:val="center"/>
              <w:rPr>
                <w:rFonts w:ascii="宋体" w:hAnsi="宋体" w:cs="宋体"/>
                <w:color w:val="auto"/>
                <w:sz w:val="24"/>
                <w:szCs w:val="24"/>
                <w:highlight w:val="none"/>
              </w:rPr>
            </w:pPr>
          </w:p>
        </w:tc>
        <w:tc>
          <w:tcPr>
            <w:tcW w:w="2127" w:type="dxa"/>
            <w:vMerge w:val="continue"/>
            <w:tcBorders>
              <w:left w:val="single" w:color="000000" w:sz="12" w:space="0"/>
              <w:bottom w:val="single" w:color="000000" w:sz="12" w:space="0"/>
              <w:right w:val="single" w:color="000000" w:sz="12" w:space="0"/>
            </w:tcBorders>
            <w:shd w:val="clear" w:color="000000" w:fill="FFFFFF"/>
            <w:tcMar>
              <w:left w:w="108" w:type="dxa"/>
              <w:right w:w="108" w:type="dxa"/>
            </w:tcMar>
            <w:vAlign w:val="center"/>
          </w:tcPr>
          <w:p>
            <w:pPr>
              <w:jc w:val="center"/>
              <w:rPr>
                <w:rFonts w:ascii="宋体" w:hAnsi="宋体" w:cs="宋体"/>
                <w:color w:val="auto"/>
                <w:sz w:val="24"/>
                <w:szCs w:val="24"/>
                <w:highlight w:val="none"/>
              </w:rPr>
            </w:pPr>
          </w:p>
        </w:tc>
        <w:tc>
          <w:tcPr>
            <w:tcW w:w="5986" w:type="dxa"/>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tcPr>
          <w:p>
            <w:pPr>
              <w:adjustRightInd w:val="0"/>
              <w:snapToGrid w:val="0"/>
              <w:spacing w:line="280" w:lineRule="exact"/>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恒温恒湿空气处理机的保证措施方案。</w:t>
            </w:r>
          </w:p>
          <w:p>
            <w:pPr>
              <w:spacing w:line="360" w:lineRule="exact"/>
              <w:rPr>
                <w:rFonts w:ascii="宋体" w:hAnsi="宋体" w:cs="宋体"/>
                <w:color w:val="auto"/>
                <w:sz w:val="24"/>
                <w:szCs w:val="24"/>
                <w:highlight w:val="none"/>
              </w:rPr>
            </w:pPr>
            <w:r>
              <w:rPr>
                <w:rFonts w:hint="eastAsia" w:ascii="宋体" w:hAnsi="宋体" w:cs="宋体"/>
                <w:color w:val="auto"/>
                <w:sz w:val="24"/>
                <w:szCs w:val="24"/>
                <w:highlight w:val="none"/>
              </w:rPr>
              <w:t>优秀得1.5-2.0分、良好得0.8-1.4分、一般得0-0.7分。</w:t>
            </w:r>
          </w:p>
        </w:tc>
      </w:tr>
      <w:tr>
        <w:tblPrEx>
          <w:tblCellMar>
            <w:top w:w="0" w:type="dxa"/>
            <w:left w:w="10" w:type="dxa"/>
            <w:bottom w:w="0" w:type="dxa"/>
            <w:right w:w="10" w:type="dxa"/>
          </w:tblCellMar>
        </w:tblPrEx>
        <w:trPr>
          <w:trHeight w:val="1581" w:hRule="atLeast"/>
          <w:jc w:val="center"/>
        </w:trPr>
        <w:tc>
          <w:tcPr>
            <w:tcW w:w="694" w:type="dxa"/>
            <w:vMerge w:val="continue"/>
            <w:tcBorders>
              <w:left w:val="single" w:color="000000" w:sz="12" w:space="0"/>
              <w:right w:val="single" w:color="000000" w:sz="12" w:space="0"/>
            </w:tcBorders>
            <w:shd w:val="clear" w:color="000000" w:fill="FFFFFF"/>
            <w:tcMar>
              <w:left w:w="108" w:type="dxa"/>
              <w:right w:w="108" w:type="dxa"/>
            </w:tcMar>
            <w:vAlign w:val="center"/>
          </w:tcPr>
          <w:p>
            <w:pPr>
              <w:spacing w:line="320" w:lineRule="auto"/>
              <w:jc w:val="center"/>
              <w:rPr>
                <w:rFonts w:asciiTheme="minorEastAsia" w:hAnsiTheme="minorEastAsia" w:eastAsiaTheme="minorEastAsia" w:cstheme="minorEastAsia"/>
                <w:color w:val="auto"/>
                <w:sz w:val="24"/>
                <w:szCs w:val="24"/>
                <w:highlight w:val="none"/>
              </w:rPr>
            </w:pPr>
          </w:p>
        </w:tc>
        <w:tc>
          <w:tcPr>
            <w:tcW w:w="1443" w:type="dxa"/>
            <w:vMerge w:val="continue"/>
            <w:tcBorders>
              <w:left w:val="single" w:color="000000" w:sz="12" w:space="0"/>
              <w:right w:val="single" w:color="000000" w:sz="12" w:space="0"/>
            </w:tcBorders>
            <w:shd w:val="clear" w:color="000000" w:fill="FFFFFF"/>
            <w:tcMar>
              <w:left w:w="108" w:type="dxa"/>
              <w:right w:w="108" w:type="dxa"/>
            </w:tcMar>
            <w:vAlign w:val="center"/>
          </w:tcPr>
          <w:p>
            <w:pPr>
              <w:spacing w:line="320" w:lineRule="auto"/>
              <w:jc w:val="center"/>
              <w:rPr>
                <w:rFonts w:ascii="宋体" w:hAnsi="宋体" w:cs="宋体"/>
                <w:color w:val="auto"/>
                <w:sz w:val="24"/>
                <w:szCs w:val="24"/>
                <w:highlight w:val="none"/>
              </w:rPr>
            </w:pPr>
          </w:p>
        </w:tc>
        <w:tc>
          <w:tcPr>
            <w:tcW w:w="2127" w:type="dxa"/>
            <w:tcBorders>
              <w:top w:val="single" w:color="000000" w:sz="12" w:space="0"/>
              <w:left w:val="single" w:color="000000" w:sz="12" w:space="0"/>
              <w:right w:val="single" w:color="000000" w:sz="12" w:space="0"/>
            </w:tcBorders>
            <w:shd w:val="clear" w:color="000000" w:fill="FFFFFF"/>
            <w:tcMar>
              <w:left w:w="108" w:type="dxa"/>
              <w:right w:w="108" w:type="dxa"/>
            </w:tcMar>
            <w:vAlign w:val="center"/>
          </w:tcPr>
          <w:p>
            <w:pPr>
              <w:jc w:val="center"/>
              <w:rPr>
                <w:rFonts w:ascii="宋体" w:hAnsi="宋体" w:cs="宋体"/>
                <w:color w:val="auto"/>
                <w:sz w:val="24"/>
                <w:szCs w:val="24"/>
                <w:highlight w:val="none"/>
              </w:rPr>
            </w:pPr>
            <w:r>
              <w:rPr>
                <w:rFonts w:hint="eastAsia" w:ascii="宋体" w:hAnsi="宋体" w:cs="宋体"/>
                <w:b/>
                <w:color w:val="auto"/>
                <w:sz w:val="24"/>
                <w:highlight w:val="none"/>
              </w:rPr>
              <w:t>施工组织措施（3分）</w:t>
            </w:r>
          </w:p>
        </w:tc>
        <w:tc>
          <w:tcPr>
            <w:tcW w:w="5986" w:type="dxa"/>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tcPr>
          <w:p>
            <w:pPr>
              <w:adjustRightInd w:val="0"/>
              <w:snapToGrid w:val="0"/>
              <w:spacing w:line="280" w:lineRule="exact"/>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质量保证措施、安全生产保证措施、工期保证措施以及文明施工和环境保护的措施科学、合理、全面、有针对性。</w:t>
            </w:r>
          </w:p>
          <w:p>
            <w:pPr>
              <w:jc w:val="left"/>
              <w:rPr>
                <w:rFonts w:ascii="宋体" w:hAnsi="宋体" w:cs="宋体"/>
                <w:color w:val="auto"/>
                <w:sz w:val="24"/>
                <w:szCs w:val="24"/>
                <w:highlight w:val="none"/>
                <w:lang w:bidi="zh-CN"/>
              </w:rPr>
            </w:pPr>
            <w:r>
              <w:rPr>
                <w:rFonts w:hint="eastAsia" w:ascii="宋体" w:hAnsi="宋体" w:cs="宋体"/>
                <w:color w:val="auto"/>
                <w:sz w:val="24"/>
                <w:szCs w:val="24"/>
                <w:highlight w:val="none"/>
              </w:rPr>
              <w:t>优秀得2.1-3.0分、良好得1.1-2.0分、一般得0-1.0分。</w:t>
            </w:r>
          </w:p>
        </w:tc>
      </w:tr>
      <w:tr>
        <w:tblPrEx>
          <w:tblCellMar>
            <w:top w:w="0" w:type="dxa"/>
            <w:left w:w="10" w:type="dxa"/>
            <w:bottom w:w="0" w:type="dxa"/>
            <w:right w:w="10" w:type="dxa"/>
          </w:tblCellMar>
        </w:tblPrEx>
        <w:trPr>
          <w:jc w:val="center"/>
        </w:trPr>
        <w:tc>
          <w:tcPr>
            <w:tcW w:w="694" w:type="dxa"/>
            <w:vMerge w:val="continue"/>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spacing w:after="200" w:line="276" w:lineRule="auto"/>
              <w:jc w:val="left"/>
              <w:rPr>
                <w:rFonts w:asciiTheme="minorEastAsia" w:hAnsiTheme="minorEastAsia" w:eastAsiaTheme="minorEastAsia" w:cstheme="minorEastAsia"/>
                <w:color w:val="auto"/>
                <w:sz w:val="24"/>
                <w:szCs w:val="24"/>
                <w:highlight w:val="none"/>
              </w:rPr>
            </w:pPr>
          </w:p>
        </w:tc>
        <w:tc>
          <w:tcPr>
            <w:tcW w:w="1443" w:type="dxa"/>
            <w:vMerge w:val="continue"/>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spacing w:after="200" w:line="276" w:lineRule="auto"/>
              <w:jc w:val="left"/>
              <w:rPr>
                <w:rFonts w:asciiTheme="minorEastAsia" w:hAnsiTheme="minorEastAsia" w:eastAsiaTheme="minorEastAsia" w:cstheme="minorEastAsia"/>
                <w:color w:val="auto"/>
                <w:sz w:val="24"/>
                <w:szCs w:val="24"/>
                <w:highlight w:val="none"/>
              </w:rPr>
            </w:pPr>
          </w:p>
        </w:tc>
        <w:tc>
          <w:tcPr>
            <w:tcW w:w="2127" w:type="dxa"/>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jc w:val="left"/>
              <w:rPr>
                <w:rFonts w:ascii="宋体" w:hAnsi="宋体" w:cs="宋体"/>
                <w:color w:val="auto"/>
                <w:sz w:val="24"/>
                <w:szCs w:val="24"/>
                <w:highlight w:val="none"/>
              </w:rPr>
            </w:pPr>
            <w:r>
              <w:rPr>
                <w:rFonts w:hint="eastAsia" w:ascii="宋体" w:hAnsi="宋体" w:cs="宋体"/>
                <w:color w:val="auto"/>
                <w:sz w:val="24"/>
                <w:szCs w:val="24"/>
                <w:highlight w:val="none"/>
              </w:rPr>
              <w:t>技术参数指标响</w:t>
            </w:r>
            <w:r>
              <w:rPr>
                <w:rFonts w:ascii="宋体" w:hAnsi="宋体" w:cs="宋体"/>
                <w:color w:val="auto"/>
                <w:sz w:val="24"/>
                <w:szCs w:val="24"/>
                <w:highlight w:val="none"/>
              </w:rPr>
              <w:t xml:space="preserve"> </w:t>
            </w:r>
            <w:r>
              <w:rPr>
                <w:rFonts w:hint="eastAsia" w:ascii="宋体" w:hAnsi="宋体" w:cs="宋体"/>
                <w:color w:val="auto"/>
                <w:sz w:val="24"/>
                <w:szCs w:val="24"/>
                <w:highlight w:val="none"/>
              </w:rPr>
              <w:t>应情况</w:t>
            </w:r>
            <w:r>
              <w:rPr>
                <w:rFonts w:ascii="宋体" w:hAnsi="宋体" w:cs="宋体"/>
                <w:color w:val="auto"/>
                <w:sz w:val="24"/>
                <w:szCs w:val="24"/>
                <w:highlight w:val="none"/>
              </w:rPr>
              <w:t xml:space="preserve"> </w:t>
            </w:r>
            <w:r>
              <w:rPr>
                <w:rFonts w:hint="eastAsia" w:ascii="宋体" w:hAnsi="宋体" w:cs="宋体"/>
                <w:color w:val="auto"/>
                <w:sz w:val="24"/>
                <w:szCs w:val="24"/>
                <w:highlight w:val="none"/>
              </w:rPr>
              <w:t>（</w:t>
            </w:r>
            <w:r>
              <w:rPr>
                <w:rFonts w:hint="default" w:ascii="宋体" w:hAnsi="宋体" w:cs="宋体"/>
                <w:color w:val="auto"/>
                <w:sz w:val="24"/>
                <w:szCs w:val="24"/>
                <w:highlight w:val="none"/>
                <w:lang w:val="en-US"/>
              </w:rPr>
              <w:t>19</w:t>
            </w:r>
            <w:r>
              <w:rPr>
                <w:rFonts w:hint="eastAsia" w:ascii="宋体" w:hAnsi="宋体" w:cs="宋体"/>
                <w:color w:val="auto"/>
                <w:sz w:val="24"/>
                <w:szCs w:val="24"/>
                <w:highlight w:val="none"/>
              </w:rPr>
              <w:t>分）</w:t>
            </w:r>
          </w:p>
        </w:tc>
        <w:tc>
          <w:tcPr>
            <w:tcW w:w="5986" w:type="dxa"/>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tcPr>
          <w:p>
            <w:pPr>
              <w:jc w:val="left"/>
              <w:rPr>
                <w:rFonts w:ascii="宋体" w:hAnsi="宋体" w:cs="宋体"/>
                <w:color w:val="auto"/>
                <w:sz w:val="24"/>
                <w:szCs w:val="24"/>
                <w:highlight w:val="none"/>
              </w:rPr>
            </w:pPr>
            <w:r>
              <w:rPr>
                <w:rFonts w:hint="eastAsia" w:ascii="宋体" w:hAnsi="宋体" w:cs="宋体"/>
                <w:color w:val="auto"/>
                <w:sz w:val="24"/>
                <w:szCs w:val="24"/>
                <w:highlight w:val="none"/>
              </w:rPr>
              <w:t>根据所投产品的详细技术参数进行打分。招标文件</w:t>
            </w:r>
            <w:r>
              <w:rPr>
                <w:rFonts w:ascii="宋体" w:hAnsi="宋体" w:cs="宋体"/>
                <w:color w:val="auto"/>
                <w:sz w:val="24"/>
                <w:szCs w:val="24"/>
                <w:highlight w:val="none"/>
              </w:rPr>
              <w:t xml:space="preserve"> </w:t>
            </w:r>
            <w:r>
              <w:rPr>
                <w:rFonts w:hint="eastAsia" w:ascii="宋体" w:hAnsi="宋体" w:cs="宋体"/>
                <w:color w:val="auto"/>
                <w:sz w:val="24"/>
                <w:szCs w:val="24"/>
                <w:highlight w:val="none"/>
              </w:rPr>
              <w:t>技术参数要求及资信评分部分要求需提供证明资料</w:t>
            </w:r>
            <w:r>
              <w:rPr>
                <w:rFonts w:ascii="宋体" w:hAnsi="宋体" w:cs="宋体"/>
                <w:color w:val="auto"/>
                <w:sz w:val="24"/>
                <w:szCs w:val="24"/>
                <w:highlight w:val="none"/>
              </w:rPr>
              <w:t xml:space="preserve"> </w:t>
            </w:r>
            <w:r>
              <w:rPr>
                <w:rFonts w:hint="eastAsia" w:ascii="宋体" w:hAnsi="宋体" w:cs="宋体"/>
                <w:color w:val="auto"/>
                <w:sz w:val="24"/>
                <w:szCs w:val="24"/>
                <w:highlight w:val="none"/>
              </w:rPr>
              <w:t>的未能提供或提供的证明资料不符合要求的，则视</w:t>
            </w:r>
            <w:r>
              <w:rPr>
                <w:rFonts w:ascii="宋体" w:hAnsi="宋体" w:cs="宋体"/>
                <w:color w:val="auto"/>
                <w:sz w:val="24"/>
                <w:szCs w:val="24"/>
                <w:highlight w:val="none"/>
              </w:rPr>
              <w:t xml:space="preserve"> </w:t>
            </w:r>
            <w:r>
              <w:rPr>
                <w:rFonts w:hint="eastAsia" w:ascii="宋体" w:hAnsi="宋体" w:cs="宋体"/>
                <w:color w:val="auto"/>
                <w:sz w:val="24"/>
                <w:szCs w:val="24"/>
                <w:highlight w:val="none"/>
              </w:rPr>
              <w:t>为不满足。</w:t>
            </w:r>
            <w:r>
              <w:rPr>
                <w:rFonts w:ascii="宋体" w:hAnsi="宋体" w:cs="宋体"/>
                <w:color w:val="auto"/>
                <w:sz w:val="24"/>
                <w:szCs w:val="24"/>
                <w:highlight w:val="none"/>
              </w:rPr>
              <w:t xml:space="preserve"> </w:t>
            </w:r>
            <w:r>
              <w:rPr>
                <w:rFonts w:hint="eastAsia" w:ascii="宋体" w:hAnsi="宋体" w:cs="宋体"/>
                <w:color w:val="auto"/>
                <w:sz w:val="24"/>
                <w:szCs w:val="24"/>
                <w:highlight w:val="none"/>
              </w:rPr>
              <w:t>根据各投标人所投设备性能以及技术参数和设备质</w:t>
            </w:r>
            <w:r>
              <w:rPr>
                <w:rFonts w:ascii="宋体" w:hAnsi="宋体" w:cs="宋体"/>
                <w:color w:val="auto"/>
                <w:sz w:val="24"/>
                <w:szCs w:val="24"/>
                <w:highlight w:val="none"/>
              </w:rPr>
              <w:t xml:space="preserve"> </w:t>
            </w:r>
            <w:r>
              <w:rPr>
                <w:rFonts w:hint="eastAsia" w:ascii="宋体" w:hAnsi="宋体" w:cs="宋体"/>
                <w:color w:val="auto"/>
                <w:sz w:val="24"/>
                <w:szCs w:val="24"/>
                <w:highlight w:val="none"/>
              </w:rPr>
              <w:t>量对招标文件各项基本要求（招标货物清单及技术</w:t>
            </w:r>
            <w:r>
              <w:rPr>
                <w:rFonts w:ascii="宋体" w:hAnsi="宋体" w:cs="宋体"/>
                <w:color w:val="auto"/>
                <w:sz w:val="24"/>
                <w:szCs w:val="24"/>
                <w:highlight w:val="none"/>
              </w:rPr>
              <w:t xml:space="preserve"> </w:t>
            </w:r>
            <w:r>
              <w:rPr>
                <w:rFonts w:hint="eastAsia" w:ascii="宋体" w:hAnsi="宋体" w:cs="宋体"/>
                <w:color w:val="auto"/>
                <w:sz w:val="24"/>
                <w:szCs w:val="24"/>
                <w:highlight w:val="none"/>
              </w:rPr>
              <w:t>要求中各项条款）的逐项响应、承诺等方面情况由</w:t>
            </w:r>
            <w:r>
              <w:rPr>
                <w:rFonts w:ascii="宋体" w:hAnsi="宋体" w:cs="宋体"/>
                <w:color w:val="auto"/>
                <w:sz w:val="24"/>
                <w:szCs w:val="24"/>
                <w:highlight w:val="none"/>
              </w:rPr>
              <w:t xml:space="preserve"> </w:t>
            </w:r>
            <w:r>
              <w:rPr>
                <w:rFonts w:hint="eastAsia" w:ascii="宋体" w:hAnsi="宋体" w:cs="宋体"/>
                <w:color w:val="auto"/>
                <w:sz w:val="24"/>
                <w:szCs w:val="24"/>
                <w:highlight w:val="none"/>
              </w:rPr>
              <w:t>评委进行评议评分，投标人所投设备完全满足招标</w:t>
            </w:r>
            <w:r>
              <w:rPr>
                <w:rFonts w:ascii="宋体" w:hAnsi="宋体" w:cs="宋体"/>
                <w:color w:val="auto"/>
                <w:sz w:val="24"/>
                <w:szCs w:val="24"/>
                <w:highlight w:val="none"/>
              </w:rPr>
              <w:t xml:space="preserve"> </w:t>
            </w:r>
            <w:r>
              <w:rPr>
                <w:rFonts w:hint="eastAsia" w:ascii="宋体" w:hAnsi="宋体" w:cs="宋体"/>
                <w:color w:val="auto"/>
                <w:sz w:val="24"/>
                <w:szCs w:val="24"/>
                <w:highlight w:val="none"/>
              </w:rPr>
              <w:t>文件技术规范及要求的，得</w:t>
            </w:r>
            <w:r>
              <w:rPr>
                <w:rFonts w:hint="default" w:ascii="宋体" w:hAnsi="宋体" w:cs="宋体"/>
                <w:color w:val="auto"/>
                <w:sz w:val="24"/>
                <w:szCs w:val="24"/>
                <w:highlight w:val="none"/>
                <w:lang w:val="en-US"/>
              </w:rPr>
              <w:t>19</w:t>
            </w:r>
            <w:r>
              <w:rPr>
                <w:rFonts w:hint="eastAsia" w:ascii="宋体" w:hAnsi="宋体" w:cs="宋体"/>
                <w:color w:val="auto"/>
                <w:sz w:val="24"/>
                <w:szCs w:val="24"/>
                <w:highlight w:val="none"/>
              </w:rPr>
              <w:t>分。有负偏离情况</w:t>
            </w:r>
            <w:r>
              <w:rPr>
                <w:rFonts w:ascii="宋体" w:hAnsi="宋体" w:cs="宋体"/>
                <w:color w:val="auto"/>
                <w:sz w:val="24"/>
                <w:szCs w:val="24"/>
                <w:highlight w:val="none"/>
              </w:rPr>
              <w:t xml:space="preserve"> </w:t>
            </w:r>
            <w:r>
              <w:rPr>
                <w:rFonts w:hint="eastAsia" w:ascii="宋体" w:hAnsi="宋体" w:cs="宋体"/>
                <w:color w:val="auto"/>
                <w:sz w:val="24"/>
                <w:szCs w:val="24"/>
                <w:highlight w:val="none"/>
              </w:rPr>
              <w:t>的，评标委员会将根据该技术参数的负偏离对所投</w:t>
            </w:r>
            <w:r>
              <w:rPr>
                <w:rFonts w:ascii="宋体" w:hAnsi="宋体" w:cs="宋体"/>
                <w:color w:val="auto"/>
                <w:sz w:val="24"/>
                <w:szCs w:val="24"/>
                <w:highlight w:val="none"/>
              </w:rPr>
              <w:t xml:space="preserve"> </w:t>
            </w:r>
            <w:r>
              <w:rPr>
                <w:rFonts w:hint="eastAsia" w:ascii="宋体" w:hAnsi="宋体" w:cs="宋体"/>
                <w:color w:val="auto"/>
                <w:sz w:val="24"/>
                <w:szCs w:val="24"/>
                <w:highlight w:val="none"/>
              </w:rPr>
              <w:t>标设备的使用影响程度进行以下扣分：</w:t>
            </w:r>
          </w:p>
          <w:p>
            <w:pPr>
              <w:jc w:val="left"/>
              <w:rPr>
                <w:rFonts w:ascii="宋体" w:hAnsi="宋体" w:cs="宋体"/>
                <w:color w:val="auto"/>
                <w:sz w:val="24"/>
                <w:szCs w:val="24"/>
                <w:highlight w:val="none"/>
              </w:rPr>
            </w:pPr>
            <w:r>
              <w:rPr>
                <w:rFonts w:ascii="宋体" w:hAnsi="宋体" w:cs="宋体"/>
                <w:color w:val="auto"/>
                <w:sz w:val="24"/>
                <w:szCs w:val="24"/>
                <w:highlight w:val="none"/>
              </w:rPr>
              <w:t>(1)</w:t>
            </w:r>
            <w:r>
              <w:rPr>
                <w:rFonts w:hint="eastAsia" w:ascii="宋体" w:hAnsi="宋体" w:cs="宋体"/>
                <w:color w:val="auto"/>
                <w:sz w:val="24"/>
                <w:szCs w:val="24"/>
                <w:highlight w:val="none"/>
              </w:rPr>
              <w:t>技术参数中标注</w:t>
            </w:r>
            <w:r>
              <w:rPr>
                <w:rFonts w:ascii="宋体" w:hAnsi="宋体" w:cs="宋体"/>
                <w:color w:val="auto"/>
                <w:sz w:val="24"/>
                <w:szCs w:val="24"/>
                <w:highlight w:val="none"/>
              </w:rPr>
              <w:t xml:space="preserve"> </w:t>
            </w:r>
            <w:r>
              <w:rPr>
                <w:rFonts w:hint="eastAsia" w:ascii="宋体" w:hAnsi="宋体" w:cs="宋体"/>
                <w:color w:val="auto"/>
                <w:sz w:val="24"/>
                <w:szCs w:val="24"/>
                <w:highlight w:val="none"/>
              </w:rPr>
              <w:t>“▲”号的指标，每负偏离一</w:t>
            </w:r>
            <w:r>
              <w:rPr>
                <w:rFonts w:ascii="宋体" w:hAnsi="宋体" w:cs="宋体"/>
                <w:color w:val="auto"/>
                <w:sz w:val="24"/>
                <w:szCs w:val="24"/>
                <w:highlight w:val="none"/>
              </w:rPr>
              <w:t xml:space="preserve"> </w:t>
            </w:r>
            <w:r>
              <w:rPr>
                <w:rFonts w:hint="eastAsia" w:ascii="宋体" w:hAnsi="宋体" w:cs="宋体"/>
                <w:color w:val="auto"/>
                <w:sz w:val="24"/>
                <w:szCs w:val="24"/>
                <w:highlight w:val="none"/>
              </w:rPr>
              <w:t>项扣</w:t>
            </w:r>
            <w:r>
              <w:rPr>
                <w:rFonts w:ascii="宋体" w:hAnsi="宋体" w:cs="宋体"/>
                <w:color w:val="auto"/>
                <w:sz w:val="24"/>
                <w:szCs w:val="24"/>
                <w:highlight w:val="none"/>
              </w:rPr>
              <w:t>2</w:t>
            </w:r>
            <w:r>
              <w:rPr>
                <w:rFonts w:hint="eastAsia" w:ascii="宋体" w:hAnsi="宋体" w:cs="宋体"/>
                <w:color w:val="auto"/>
                <w:sz w:val="24"/>
                <w:szCs w:val="24"/>
                <w:highlight w:val="none"/>
              </w:rPr>
              <w:t>分；</w:t>
            </w:r>
            <w:r>
              <w:rPr>
                <w:rFonts w:ascii="宋体" w:hAnsi="宋体" w:cs="宋体"/>
                <w:color w:val="auto"/>
                <w:sz w:val="24"/>
                <w:szCs w:val="24"/>
                <w:highlight w:val="none"/>
              </w:rPr>
              <w:t xml:space="preserve"> </w:t>
            </w:r>
            <w:r>
              <w:rPr>
                <w:rFonts w:hint="eastAsia" w:ascii="宋体" w:hAnsi="宋体" w:cs="宋体"/>
                <w:color w:val="auto"/>
                <w:sz w:val="24"/>
                <w:szCs w:val="24"/>
                <w:highlight w:val="none"/>
              </w:rPr>
              <w:t>其他指标，每负偏离一项扣</w:t>
            </w:r>
            <w:r>
              <w:rPr>
                <w:rFonts w:ascii="宋体" w:hAnsi="宋体" w:cs="宋体"/>
                <w:color w:val="auto"/>
                <w:sz w:val="24"/>
                <w:szCs w:val="24"/>
                <w:highlight w:val="none"/>
              </w:rPr>
              <w:t>1</w:t>
            </w:r>
            <w:r>
              <w:rPr>
                <w:rFonts w:hint="eastAsia" w:ascii="宋体" w:hAnsi="宋体" w:cs="宋体"/>
                <w:color w:val="auto"/>
                <w:sz w:val="24"/>
                <w:szCs w:val="24"/>
                <w:highlight w:val="none"/>
              </w:rPr>
              <w:t>分，扣完为</w:t>
            </w:r>
            <w:r>
              <w:rPr>
                <w:rFonts w:ascii="宋体" w:hAnsi="宋体" w:cs="宋体"/>
                <w:color w:val="auto"/>
                <w:sz w:val="24"/>
                <w:szCs w:val="24"/>
                <w:highlight w:val="none"/>
              </w:rPr>
              <w:t xml:space="preserve"> </w:t>
            </w:r>
            <w:r>
              <w:rPr>
                <w:rFonts w:hint="eastAsia" w:ascii="宋体" w:hAnsi="宋体" w:cs="宋体"/>
                <w:color w:val="auto"/>
                <w:sz w:val="24"/>
                <w:szCs w:val="24"/>
                <w:highlight w:val="none"/>
              </w:rPr>
              <w:t>止。</w:t>
            </w:r>
          </w:p>
          <w:p>
            <w:pPr>
              <w:jc w:val="left"/>
              <w:rPr>
                <w:rFonts w:ascii="宋体" w:hAnsi="宋体" w:cs="宋体"/>
                <w:color w:val="auto"/>
                <w:sz w:val="24"/>
                <w:szCs w:val="24"/>
                <w:highlight w:val="none"/>
              </w:rPr>
            </w:pPr>
            <w:r>
              <w:rPr>
                <w:rFonts w:ascii="宋体" w:hAnsi="宋体" w:cs="宋体"/>
                <w:color w:val="auto"/>
                <w:sz w:val="24"/>
                <w:szCs w:val="24"/>
                <w:highlight w:val="none"/>
              </w:rPr>
              <w:t xml:space="preserve"> (2)</w:t>
            </w:r>
            <w:r>
              <w:rPr>
                <w:rFonts w:hint="eastAsia" w:ascii="宋体" w:hAnsi="宋体" w:cs="宋体"/>
                <w:color w:val="auto"/>
                <w:sz w:val="24"/>
                <w:szCs w:val="24"/>
                <w:highlight w:val="none"/>
              </w:rPr>
              <w:t>正偏离不加分。</w:t>
            </w:r>
          </w:p>
        </w:tc>
      </w:tr>
    </w:tbl>
    <w:p>
      <w:pPr>
        <w:adjustRightInd w:val="0"/>
        <w:snapToGrid w:val="0"/>
        <w:spacing w:line="320" w:lineRule="exact"/>
        <w:ind w:firstLine="482"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color w:val="auto"/>
          <w:sz w:val="24"/>
          <w:szCs w:val="24"/>
          <w:highlight w:val="none"/>
        </w:rPr>
        <w:t>注：</w:t>
      </w:r>
      <w:r>
        <w:rPr>
          <w:rFonts w:hint="eastAsia" w:asciiTheme="minorEastAsia" w:hAnsiTheme="minorEastAsia" w:eastAsiaTheme="minorEastAsia" w:cstheme="minorEastAsia"/>
          <w:color w:val="auto"/>
          <w:sz w:val="24"/>
          <w:szCs w:val="24"/>
          <w:highlight w:val="none"/>
        </w:rPr>
        <w:t>由评标委员会全体成员负责对投标文件的服务大纲部分采用记名方式各自评分。如发现某个单项的评分超出了规定的分值范围的，则该张评分表无效。此项评分为：从评标专家的有效评分中扣除一个最高总分和一个最低总分后的算术平均值（保留小数2位）</w:t>
      </w:r>
    </w:p>
    <w:p>
      <w:pPr>
        <w:pStyle w:val="47"/>
        <w:spacing w:before="0" w:beforeAutospacing="0" w:after="0" w:afterAutospacing="0" w:line="320" w:lineRule="exact"/>
        <w:ind w:firstLine="271" w:firstLineChars="113"/>
        <w:rPr>
          <w:rFonts w:asciiTheme="minorEastAsia" w:hAnsiTheme="minorEastAsia" w:eastAsiaTheme="minorEastAsia" w:cstheme="minorEastAsia"/>
          <w:color w:val="auto"/>
          <w:kern w:val="2"/>
          <w:szCs w:val="24"/>
          <w:highlight w:val="none"/>
        </w:rPr>
      </w:pPr>
      <w:r>
        <w:rPr>
          <w:rFonts w:hint="eastAsia" w:asciiTheme="minorEastAsia" w:hAnsiTheme="minorEastAsia" w:eastAsiaTheme="minorEastAsia" w:cstheme="minorEastAsia"/>
          <w:color w:val="auto"/>
          <w:kern w:val="2"/>
          <w:szCs w:val="24"/>
          <w:highlight w:val="none"/>
        </w:rPr>
        <w:t>注：业绩证明材料应提供合同复印件。</w:t>
      </w:r>
      <w:r>
        <w:rPr>
          <w:rFonts w:hint="eastAsia" w:asciiTheme="minorEastAsia" w:hAnsiTheme="minorEastAsia" w:eastAsiaTheme="minorEastAsia" w:cstheme="minorEastAsia"/>
          <w:i/>
          <w:color w:val="auto"/>
          <w:kern w:val="2"/>
          <w:szCs w:val="24"/>
          <w:highlight w:val="none"/>
        </w:rPr>
        <w:t>投标资格证明中的业绩</w:t>
      </w:r>
      <w:r>
        <w:rPr>
          <w:rFonts w:hint="eastAsia" w:asciiTheme="minorEastAsia" w:hAnsiTheme="minorEastAsia" w:eastAsiaTheme="minorEastAsia" w:cstheme="minorEastAsia"/>
          <w:i/>
          <w:color w:val="auto"/>
          <w:kern w:val="2"/>
          <w:szCs w:val="24"/>
          <w:highlight w:val="none"/>
          <w:u w:val="single"/>
        </w:rPr>
        <w:t>可以</w:t>
      </w:r>
      <w:r>
        <w:rPr>
          <w:rFonts w:hint="eastAsia" w:asciiTheme="minorEastAsia" w:hAnsiTheme="minorEastAsia" w:eastAsiaTheme="minorEastAsia" w:cstheme="minorEastAsia"/>
          <w:i/>
          <w:color w:val="auto"/>
          <w:kern w:val="2"/>
          <w:szCs w:val="24"/>
          <w:highlight w:val="none"/>
        </w:rPr>
        <w:t>作为本项计分业绩。</w:t>
      </w:r>
    </w:p>
    <w:p>
      <w:pPr>
        <w:adjustRightInd w:val="0"/>
        <w:snapToGrid w:val="0"/>
        <w:spacing w:line="320" w:lineRule="exact"/>
        <w:ind w:firstLine="482" w:firstLineChars="200"/>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（三）投标文件的商务标评审</w:t>
      </w:r>
    </w:p>
    <w:p>
      <w:pPr>
        <w:adjustRightInd w:val="0"/>
        <w:snapToGrid w:val="0"/>
        <w:spacing w:line="320" w:lineRule="exact"/>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1、由评标委员会全体成员对投标文件的报价进行评审。评标专家应对报价的范围、数量、单价、费用组成和总价等进行全面审阅和对比分析，找出报价差异的原因及存在的问题。</w:t>
      </w:r>
    </w:p>
    <w:p>
      <w:pPr>
        <w:adjustRightInd w:val="0"/>
        <w:snapToGrid w:val="0"/>
        <w:spacing w:line="320" w:lineRule="exact"/>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2、报价评审应以报价口径范围一致的投标评标价为依据。投标评标价应在最终报价的基础上，按照招标文件约定的因素和方法进行计算。</w:t>
      </w:r>
    </w:p>
    <w:p>
      <w:pPr>
        <w:adjustRightInd w:val="0"/>
        <w:snapToGrid w:val="0"/>
        <w:spacing w:line="320" w:lineRule="exact"/>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3、评标基准价由评标委员会依据下述方法计算，除计算差错外，确认后的评标基准价在本次招标期间保持不变。</w:t>
      </w:r>
    </w:p>
    <w:p>
      <w:pPr>
        <w:adjustRightInd w:val="0"/>
        <w:snapToGrid w:val="0"/>
        <w:spacing w:line="320" w:lineRule="exact"/>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计算差错，仅限于以下两种情况：（1）纯算术性四则运算差错；（2）未按约定的计算方法，多计或者少计投标人报价的。由于评标差错，导致否决投标错误，重新评标纠正等其他情况，不属于计算差错。</w:t>
      </w:r>
    </w:p>
    <w:p>
      <w:pPr>
        <w:adjustRightInd w:val="0"/>
        <w:snapToGrid w:val="0"/>
        <w:spacing w:line="320" w:lineRule="exact"/>
        <w:ind w:firstLine="482" w:firstLineChars="200"/>
        <w:rPr>
          <w:rFonts w:asciiTheme="minorEastAsia" w:hAnsiTheme="minorEastAsia" w:eastAsiaTheme="minorEastAsia" w:cstheme="minorEastAsia"/>
          <w:b/>
          <w:color w:val="FF0000"/>
          <w:sz w:val="24"/>
          <w:szCs w:val="24"/>
          <w:highlight w:val="none"/>
        </w:rPr>
      </w:pPr>
      <w:r>
        <w:rPr>
          <w:rFonts w:hint="eastAsia" w:asciiTheme="minorEastAsia" w:hAnsiTheme="minorEastAsia" w:eastAsiaTheme="minorEastAsia" w:cstheme="minorEastAsia"/>
          <w:b/>
          <w:color w:val="FF0000"/>
          <w:sz w:val="24"/>
          <w:szCs w:val="24"/>
          <w:highlight w:val="none"/>
        </w:rPr>
        <w:t>4、报价评分（0-40分）</w:t>
      </w:r>
    </w:p>
    <w:p>
      <w:pPr>
        <w:adjustRightInd w:val="0"/>
        <w:snapToGrid w:val="0"/>
        <w:spacing w:line="500" w:lineRule="exact"/>
        <w:ind w:firstLine="480" w:firstLineChars="200"/>
        <w:jc w:val="left"/>
        <w:rPr>
          <w:rFonts w:ascii="宋体" w:hAnsi="宋体" w:cs="宋体"/>
          <w:b/>
          <w:color w:val="FF0000"/>
          <w:sz w:val="24"/>
          <w:szCs w:val="24"/>
          <w:highlight w:val="none"/>
        </w:rPr>
      </w:pPr>
      <w:r>
        <w:rPr>
          <w:rFonts w:hint="eastAsia" w:ascii="宋体" w:hAnsi="宋体" w:cs="宋体"/>
          <w:color w:val="FF0000"/>
          <w:sz w:val="24"/>
          <w:szCs w:val="24"/>
          <w:highlight w:val="none"/>
        </w:rPr>
        <w:t>☑</w:t>
      </w:r>
      <w:r>
        <w:rPr>
          <w:rFonts w:hint="eastAsia" w:ascii="宋体" w:hAnsi="宋体" w:cs="宋体"/>
          <w:b/>
          <w:color w:val="FF0000"/>
          <w:sz w:val="24"/>
          <w:szCs w:val="24"/>
          <w:highlight w:val="none"/>
        </w:rPr>
        <w:t xml:space="preserve">  下浮率法</w:t>
      </w:r>
    </w:p>
    <w:p>
      <w:pPr>
        <w:spacing w:line="360" w:lineRule="exact"/>
        <w:ind w:firstLine="420"/>
        <w:rPr>
          <w:rFonts w:ascii="宋体" w:hAnsi="宋体" w:cs="宋体"/>
          <w:color w:val="FF0000"/>
          <w:sz w:val="24"/>
          <w:szCs w:val="24"/>
          <w:highlight w:val="none"/>
        </w:rPr>
      </w:pPr>
      <w:r>
        <w:rPr>
          <w:rFonts w:hint="eastAsia" w:ascii="宋体" w:hAnsi="宋体" w:cs="宋体"/>
          <w:color w:val="FF0000"/>
          <w:sz w:val="24"/>
          <w:szCs w:val="24"/>
          <w:highlight w:val="none"/>
        </w:rPr>
        <w:t>（</w:t>
      </w:r>
      <w:r>
        <w:rPr>
          <w:rFonts w:ascii="宋体" w:hAnsi="宋体" w:cs="宋体"/>
          <w:color w:val="FF0000"/>
          <w:sz w:val="24"/>
          <w:szCs w:val="24"/>
          <w:highlight w:val="none"/>
        </w:rPr>
        <w:t>1）设定最小下浮率5%。</w:t>
      </w:r>
    </w:p>
    <w:p>
      <w:pPr>
        <w:spacing w:line="360" w:lineRule="exact"/>
        <w:ind w:firstLine="420"/>
        <w:rPr>
          <w:rFonts w:ascii="宋体" w:hAnsi="宋体" w:cs="宋体"/>
          <w:color w:val="FF0000"/>
          <w:sz w:val="24"/>
          <w:szCs w:val="24"/>
          <w:highlight w:val="none"/>
        </w:rPr>
      </w:pPr>
      <w:r>
        <w:rPr>
          <w:rFonts w:hint="eastAsia" w:ascii="宋体" w:hAnsi="宋体" w:cs="宋体"/>
          <w:color w:val="FF0000"/>
          <w:sz w:val="24"/>
          <w:szCs w:val="24"/>
          <w:highlight w:val="none"/>
        </w:rPr>
        <w:t>（</w:t>
      </w:r>
      <w:r>
        <w:rPr>
          <w:rFonts w:ascii="宋体" w:hAnsi="宋体" w:cs="宋体"/>
          <w:color w:val="FF0000"/>
          <w:sz w:val="24"/>
          <w:szCs w:val="24"/>
          <w:highlight w:val="none"/>
        </w:rPr>
        <w:t>2）投标人报价为下浮率Xi</w:t>
      </w:r>
      <w:r>
        <w:rPr>
          <w:rFonts w:hint="eastAsia" w:ascii="宋体" w:hAnsi="宋体" w:cs="宋体"/>
          <w:color w:val="FF0000"/>
          <w:sz w:val="24"/>
          <w:szCs w:val="24"/>
          <w:highlight w:val="none"/>
        </w:rPr>
        <w:t>【投标人下浮率以投标报价计算为准（四舍五入后保留小数点后二位，例6.75%），</w:t>
      </w:r>
      <w:r>
        <w:rPr>
          <w:rFonts w:ascii="宋体" w:hAnsi="宋体" w:cs="宋体"/>
          <w:color w:val="FF0000"/>
          <w:sz w:val="24"/>
          <w:szCs w:val="24"/>
          <w:highlight w:val="none"/>
        </w:rPr>
        <w:t>Xi</w:t>
      </w:r>
      <w:r>
        <w:rPr>
          <w:rFonts w:hint="eastAsia" w:ascii="宋体" w:hAnsi="宋体" w:cs="宋体"/>
          <w:color w:val="FF0000"/>
          <w:sz w:val="24"/>
          <w:szCs w:val="24"/>
          <w:highlight w:val="none"/>
        </w:rPr>
        <w:t>=（参考标底－投标报价）/参考标底】，</w:t>
      </w:r>
      <w:r>
        <w:rPr>
          <w:rFonts w:ascii="宋体" w:hAnsi="宋体" w:cs="宋体"/>
          <w:color w:val="FF0000"/>
          <w:sz w:val="24"/>
          <w:szCs w:val="24"/>
          <w:highlight w:val="none"/>
        </w:rPr>
        <w:t>Xi&lt;5%的投标作无效标处理。</w:t>
      </w:r>
    </w:p>
    <w:p>
      <w:pPr>
        <w:spacing w:line="360" w:lineRule="exact"/>
        <w:ind w:firstLine="420"/>
        <w:rPr>
          <w:rFonts w:ascii="宋体" w:hAnsi="宋体" w:cs="宋体"/>
          <w:color w:val="FF0000"/>
          <w:sz w:val="24"/>
          <w:szCs w:val="24"/>
          <w:highlight w:val="none"/>
        </w:rPr>
      </w:pPr>
      <w:r>
        <w:rPr>
          <w:rFonts w:hint="eastAsia" w:ascii="宋体" w:hAnsi="宋体" w:cs="宋体"/>
          <w:color w:val="FF0000"/>
          <w:sz w:val="24"/>
          <w:szCs w:val="24"/>
          <w:highlight w:val="none"/>
        </w:rPr>
        <w:t>（</w:t>
      </w:r>
      <w:r>
        <w:rPr>
          <w:rFonts w:ascii="宋体" w:hAnsi="宋体" w:cs="宋体"/>
          <w:color w:val="FF0000"/>
          <w:sz w:val="24"/>
          <w:szCs w:val="24"/>
          <w:highlight w:val="none"/>
        </w:rPr>
        <w:t>3）设定下浮率抽取区间：5%至15%（含上、下限）。</w:t>
      </w:r>
    </w:p>
    <w:p>
      <w:pPr>
        <w:spacing w:line="360" w:lineRule="exact"/>
        <w:ind w:firstLine="420"/>
        <w:rPr>
          <w:rFonts w:ascii="宋体" w:hAnsi="宋体" w:cs="宋体"/>
          <w:color w:val="FF0000"/>
          <w:sz w:val="24"/>
          <w:szCs w:val="24"/>
          <w:highlight w:val="none"/>
        </w:rPr>
      </w:pPr>
      <w:r>
        <w:rPr>
          <w:rFonts w:hint="eastAsia" w:ascii="宋体" w:hAnsi="宋体" w:cs="宋体"/>
          <w:color w:val="FF0000"/>
          <w:sz w:val="24"/>
          <w:szCs w:val="24"/>
          <w:highlight w:val="none"/>
        </w:rPr>
        <w:t>（</w:t>
      </w:r>
      <w:r>
        <w:rPr>
          <w:rFonts w:ascii="宋体" w:hAnsi="宋体" w:cs="宋体"/>
          <w:color w:val="FF0000"/>
          <w:sz w:val="24"/>
          <w:szCs w:val="24"/>
          <w:highlight w:val="none"/>
        </w:rPr>
        <w:t>4）在5%至15%(以0.5%为步长)范围内，由招标人代表1人在规定的下浮率</w:t>
      </w:r>
      <w:r>
        <w:rPr>
          <w:rFonts w:hint="eastAsia" w:ascii="宋体" w:hAnsi="宋体" w:cs="宋体"/>
          <w:color w:val="FF0000"/>
          <w:sz w:val="24"/>
          <w:szCs w:val="24"/>
          <w:highlight w:val="none"/>
        </w:rPr>
        <w:t>抽取区间内随机抽取两个下浮率，其算术平均值作为基准下浮率，其算术平均为</w:t>
      </w:r>
      <w:r>
        <w:rPr>
          <w:rFonts w:ascii="宋体" w:hAnsi="宋体" w:cs="宋体"/>
          <w:color w:val="FF0000"/>
          <w:sz w:val="24"/>
          <w:szCs w:val="24"/>
          <w:highlight w:val="none"/>
        </w:rPr>
        <w:t>Y。</w:t>
      </w:r>
    </w:p>
    <w:p>
      <w:pPr>
        <w:spacing w:line="360" w:lineRule="exact"/>
        <w:ind w:firstLine="420"/>
        <w:rPr>
          <w:rFonts w:ascii="宋体" w:hAnsi="宋体" w:cs="宋体"/>
          <w:color w:val="FF0000"/>
          <w:sz w:val="24"/>
          <w:szCs w:val="24"/>
          <w:highlight w:val="none"/>
        </w:rPr>
      </w:pPr>
      <w:r>
        <w:rPr>
          <w:rFonts w:ascii="宋体" w:hAnsi="宋体" w:cs="宋体"/>
          <w:color w:val="FF0000"/>
          <w:sz w:val="24"/>
          <w:szCs w:val="24"/>
          <w:highlight w:val="none"/>
        </w:rPr>
        <w:t>Xi=Y时,得分=4</w:t>
      </w:r>
      <w:r>
        <w:rPr>
          <w:rFonts w:hint="eastAsia" w:ascii="宋体" w:hAnsi="宋体" w:cs="宋体"/>
          <w:color w:val="FF0000"/>
          <w:sz w:val="24"/>
          <w:szCs w:val="24"/>
          <w:highlight w:val="none"/>
        </w:rPr>
        <w:t>0</w:t>
      </w:r>
    </w:p>
    <w:p>
      <w:pPr>
        <w:spacing w:line="360" w:lineRule="exact"/>
        <w:ind w:firstLine="420"/>
        <w:rPr>
          <w:rFonts w:ascii="宋体" w:hAnsi="宋体" w:cs="宋体"/>
          <w:color w:val="FF0000"/>
          <w:sz w:val="24"/>
          <w:szCs w:val="24"/>
          <w:highlight w:val="none"/>
        </w:rPr>
      </w:pPr>
      <w:r>
        <w:rPr>
          <w:rFonts w:ascii="宋体" w:hAnsi="宋体" w:cs="宋体"/>
          <w:color w:val="FF0000"/>
          <w:sz w:val="24"/>
          <w:szCs w:val="24"/>
          <w:highlight w:val="none"/>
        </w:rPr>
        <w:t>Xi&lt;Y时,得分=4</w:t>
      </w:r>
      <w:r>
        <w:rPr>
          <w:rFonts w:hint="eastAsia" w:ascii="宋体" w:hAnsi="宋体" w:cs="宋体"/>
          <w:color w:val="FF0000"/>
          <w:sz w:val="24"/>
          <w:szCs w:val="24"/>
          <w:highlight w:val="none"/>
        </w:rPr>
        <w:t>0</w:t>
      </w:r>
      <w:r>
        <w:rPr>
          <w:rFonts w:ascii="宋体" w:hAnsi="宋体" w:cs="宋体"/>
          <w:color w:val="FF0000"/>
          <w:sz w:val="24"/>
          <w:szCs w:val="24"/>
          <w:highlight w:val="none"/>
        </w:rPr>
        <w:t>-(Y-Xi)×2×100</w:t>
      </w:r>
    </w:p>
    <w:p>
      <w:pPr>
        <w:spacing w:line="360" w:lineRule="exact"/>
        <w:ind w:firstLine="420"/>
        <w:rPr>
          <w:rFonts w:ascii="宋体" w:hAnsi="宋体" w:cs="宋体"/>
          <w:color w:val="FF0000"/>
          <w:sz w:val="24"/>
          <w:szCs w:val="24"/>
          <w:highlight w:val="none"/>
        </w:rPr>
      </w:pPr>
      <w:r>
        <w:rPr>
          <w:rFonts w:ascii="宋体" w:hAnsi="宋体" w:cs="宋体"/>
          <w:color w:val="FF0000"/>
          <w:sz w:val="24"/>
          <w:szCs w:val="24"/>
          <w:highlight w:val="none"/>
        </w:rPr>
        <w:t>Xi&gt;Y时,得分=4</w:t>
      </w:r>
      <w:r>
        <w:rPr>
          <w:rFonts w:hint="eastAsia" w:ascii="宋体" w:hAnsi="宋体" w:cs="宋体"/>
          <w:color w:val="FF0000"/>
          <w:sz w:val="24"/>
          <w:szCs w:val="24"/>
          <w:highlight w:val="none"/>
        </w:rPr>
        <w:t>0</w:t>
      </w:r>
      <w:r>
        <w:rPr>
          <w:rFonts w:ascii="宋体" w:hAnsi="宋体" w:cs="宋体"/>
          <w:color w:val="FF0000"/>
          <w:sz w:val="24"/>
          <w:szCs w:val="24"/>
          <w:highlight w:val="none"/>
        </w:rPr>
        <w:t>-(Xi-Y)×1×100</w:t>
      </w:r>
    </w:p>
    <w:p>
      <w:pPr>
        <w:adjustRightInd w:val="0"/>
        <w:snapToGrid w:val="0"/>
        <w:spacing w:line="320" w:lineRule="exact"/>
        <w:ind w:firstLine="477" w:firstLineChars="199"/>
        <w:rPr>
          <w:rFonts w:asciiTheme="minorEastAsia" w:hAnsiTheme="minorEastAsia" w:eastAsiaTheme="minorEastAsia" w:cstheme="minorEastAsia"/>
          <w:color w:val="FF0000"/>
          <w:sz w:val="24"/>
          <w:szCs w:val="24"/>
          <w:highlight w:val="none"/>
        </w:rPr>
      </w:pPr>
      <w:r>
        <w:rPr>
          <w:rFonts w:hint="eastAsia" w:ascii="宋体" w:hAnsi="宋体" w:cs="宋体"/>
          <w:color w:val="FF0000"/>
          <w:sz w:val="24"/>
          <w:szCs w:val="24"/>
          <w:highlight w:val="none"/>
        </w:rPr>
        <w:t>下浮率计算和商务部分评估计算结果均精确到小数点后两位，小数点后第三位四舍五入</w:t>
      </w:r>
      <w:r>
        <w:rPr>
          <w:rFonts w:hint="eastAsia" w:asciiTheme="minorEastAsia" w:hAnsiTheme="minorEastAsia" w:eastAsiaTheme="minorEastAsia" w:cstheme="minorEastAsia"/>
          <w:color w:val="FF0000"/>
          <w:sz w:val="24"/>
          <w:szCs w:val="24"/>
          <w:highlight w:val="none"/>
        </w:rPr>
        <w:t>。</w:t>
      </w:r>
    </w:p>
    <w:p>
      <w:pPr>
        <w:adjustRightInd w:val="0"/>
        <w:snapToGrid w:val="0"/>
        <w:spacing w:line="320" w:lineRule="exact"/>
        <w:ind w:firstLine="482"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color w:val="auto"/>
          <w:sz w:val="24"/>
          <w:szCs w:val="24"/>
          <w:highlight w:val="none"/>
        </w:rPr>
        <w:t>（五）对投标人进行排序，推荐中标候选人</w:t>
      </w:r>
    </w:p>
    <w:p>
      <w:pPr>
        <w:adjustRightInd w:val="0"/>
        <w:snapToGrid w:val="0"/>
        <w:spacing w:line="320" w:lineRule="exact"/>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评标委员会根据综合评分对进入评分范围的投标文件按最终得分由高到低进行排序，评分相同时，报价低者优先；评分、报价均相同时，技术得分高优先；评分、报价、技术得分均相同时，由评标委员会通过抽签（或记名投票表决）方式排序。</w:t>
      </w:r>
    </w:p>
    <w:p>
      <w:pPr>
        <w:adjustRightInd w:val="0"/>
        <w:snapToGrid w:val="0"/>
        <w:spacing w:line="320" w:lineRule="exact"/>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2、评标委员会根据投标人须知前附表7.1规定，</w:t>
      </w:r>
      <w:r>
        <w:rPr>
          <w:rFonts w:hint="eastAsia" w:asciiTheme="minorEastAsia" w:hAnsiTheme="minorEastAsia" w:eastAsiaTheme="minorEastAsia" w:cstheme="minorEastAsia"/>
          <w:strike/>
          <w:color w:val="auto"/>
          <w:sz w:val="24"/>
          <w:szCs w:val="24"/>
          <w:highlight w:val="none"/>
        </w:rPr>
        <w:t>确定中标人或</w:t>
      </w:r>
      <w:r>
        <w:rPr>
          <w:rFonts w:hint="eastAsia" w:asciiTheme="minorEastAsia" w:hAnsiTheme="minorEastAsia" w:eastAsiaTheme="minorEastAsia" w:cstheme="minorEastAsia"/>
          <w:color w:val="auto"/>
          <w:sz w:val="24"/>
          <w:szCs w:val="24"/>
          <w:highlight w:val="none"/>
        </w:rPr>
        <w:t>推荐中标候选人。</w:t>
      </w:r>
    </w:p>
    <w:p>
      <w:pPr>
        <w:adjustRightInd w:val="0"/>
        <w:snapToGrid w:val="0"/>
        <w:spacing w:line="320" w:lineRule="exact"/>
        <w:ind w:firstLine="482" w:firstLineChars="200"/>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五、完成评标报告</w:t>
      </w:r>
    </w:p>
    <w:p>
      <w:pPr>
        <w:adjustRightInd w:val="0"/>
        <w:snapToGrid w:val="0"/>
        <w:spacing w:line="320" w:lineRule="exact"/>
        <w:ind w:firstLine="482"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color w:val="auto"/>
          <w:sz w:val="24"/>
          <w:szCs w:val="24"/>
          <w:highlight w:val="none"/>
        </w:rPr>
        <w:t>（一）评标委员会应当向招标人提交书面评标报告。</w:t>
      </w:r>
      <w:r>
        <w:rPr>
          <w:rFonts w:hint="eastAsia" w:asciiTheme="minorEastAsia" w:hAnsiTheme="minorEastAsia" w:eastAsiaTheme="minorEastAsia" w:cstheme="minorEastAsia"/>
          <w:color w:val="auto"/>
          <w:sz w:val="24"/>
          <w:szCs w:val="24"/>
          <w:highlight w:val="none"/>
        </w:rPr>
        <w:t>评标报告由评标委员会全体成员签字。对评标结果有不同意见的评标委员会成员应当以书面形式说明其不同意见和理由，评标报告应当注明该不同意见。评标委员会成员拒绝在评标报告上签字又不书面说明其不同意见和理由的，视为同意评标结果。</w:t>
      </w:r>
    </w:p>
    <w:p>
      <w:pPr>
        <w:adjustRightInd w:val="0"/>
        <w:snapToGrid w:val="0"/>
        <w:spacing w:line="320" w:lineRule="exact"/>
        <w:ind w:firstLine="482" w:firstLineChars="200"/>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（二）评标报告应包括以下内容：</w:t>
      </w:r>
    </w:p>
    <w:p>
      <w:pPr>
        <w:adjustRightInd w:val="0"/>
        <w:snapToGrid w:val="0"/>
        <w:spacing w:line="320" w:lineRule="exact"/>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1、开标记录；</w:t>
      </w:r>
    </w:p>
    <w:p>
      <w:pPr>
        <w:adjustRightInd w:val="0"/>
        <w:snapToGrid w:val="0"/>
        <w:spacing w:line="320" w:lineRule="exact"/>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2、评标内容、过程和结果；</w:t>
      </w:r>
    </w:p>
    <w:p>
      <w:pPr>
        <w:adjustRightInd w:val="0"/>
        <w:snapToGrid w:val="0"/>
        <w:spacing w:line="320" w:lineRule="exact"/>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3、询标澄清纪要；</w:t>
      </w:r>
    </w:p>
    <w:p>
      <w:pPr>
        <w:adjustRightInd w:val="0"/>
        <w:snapToGrid w:val="0"/>
        <w:spacing w:line="320" w:lineRule="exact"/>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4、否决投标情况说明及依据；</w:t>
      </w:r>
    </w:p>
    <w:p>
      <w:pPr>
        <w:adjustRightInd w:val="0"/>
        <w:snapToGrid w:val="0"/>
        <w:spacing w:line="320" w:lineRule="exact"/>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5、推荐中标候选人；</w:t>
      </w:r>
    </w:p>
    <w:p>
      <w:pPr>
        <w:adjustRightInd w:val="0"/>
        <w:snapToGrid w:val="0"/>
        <w:spacing w:line="320" w:lineRule="exact"/>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6、中标候选人投标资格条件业绩和评分业绩</w:t>
      </w:r>
      <w:r>
        <w:rPr>
          <w:rFonts w:hint="eastAsia" w:asciiTheme="minorEastAsia" w:hAnsiTheme="minorEastAsia" w:eastAsiaTheme="minorEastAsia" w:cstheme="minorEastAsia"/>
          <w:i/>
          <w:color w:val="auto"/>
          <w:sz w:val="24"/>
          <w:szCs w:val="24"/>
          <w:highlight w:val="none"/>
        </w:rPr>
        <w:t>（招标文件对投标资格或评分有业绩要求的）</w:t>
      </w:r>
      <w:r>
        <w:rPr>
          <w:rFonts w:hint="eastAsia" w:asciiTheme="minorEastAsia" w:hAnsiTheme="minorEastAsia" w:eastAsiaTheme="minorEastAsia" w:cstheme="minorEastAsia"/>
          <w:color w:val="auto"/>
          <w:sz w:val="24"/>
          <w:szCs w:val="24"/>
          <w:highlight w:val="none"/>
        </w:rPr>
        <w:t>；</w:t>
      </w:r>
    </w:p>
    <w:p>
      <w:pPr>
        <w:adjustRightInd w:val="0"/>
        <w:snapToGrid w:val="0"/>
        <w:spacing w:line="320" w:lineRule="exact"/>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7、其他建议。</w:t>
      </w:r>
    </w:p>
    <w:p>
      <w:pPr>
        <w:pStyle w:val="3"/>
        <w:rPr>
          <w:rFonts w:asciiTheme="minorEastAsia" w:hAnsiTheme="minorEastAsia" w:eastAsiaTheme="minorEastAsia" w:cstheme="minorEastAsia"/>
          <w:color w:val="auto"/>
          <w:highlight w:val="none"/>
        </w:rPr>
      </w:pPr>
    </w:p>
    <w:p>
      <w:pPr>
        <w:rPr>
          <w:rFonts w:hint="eastAsia"/>
          <w:color w:val="auto"/>
          <w:highlight w:val="none"/>
        </w:rPr>
      </w:pPr>
      <w:bookmarkStart w:id="418" w:name="_Toc152042387"/>
      <w:bookmarkStart w:id="419" w:name="_Toc392345963"/>
      <w:bookmarkStart w:id="420" w:name="_Toc152045609"/>
      <w:bookmarkStart w:id="421" w:name="_Toc2565"/>
      <w:bookmarkStart w:id="422" w:name="_Toc144974577"/>
      <w:bookmarkStart w:id="423" w:name="_Toc229646768"/>
      <w:r>
        <w:rPr>
          <w:rFonts w:hint="eastAsia"/>
          <w:color w:val="auto"/>
          <w:highlight w:val="none"/>
        </w:rPr>
        <w:br w:type="page"/>
      </w:r>
    </w:p>
    <w:p>
      <w:pPr>
        <w:pStyle w:val="5"/>
        <w:rPr>
          <w:color w:val="auto"/>
          <w:highlight w:val="none"/>
        </w:rPr>
      </w:pPr>
      <w:r>
        <w:rPr>
          <w:rFonts w:hint="eastAsia"/>
          <w:color w:val="auto"/>
          <w:highlight w:val="none"/>
        </w:rPr>
        <w:t>第四章</w:t>
      </w:r>
      <w:r>
        <w:rPr>
          <w:color w:val="auto"/>
          <w:highlight w:val="none"/>
        </w:rPr>
        <w:t xml:space="preserve"> </w:t>
      </w:r>
      <w:r>
        <w:rPr>
          <w:rFonts w:hint="eastAsia"/>
          <w:color w:val="auto"/>
          <w:highlight w:val="none"/>
        </w:rPr>
        <w:t>合同条款及格式</w:t>
      </w:r>
      <w:bookmarkEnd w:id="418"/>
      <w:bookmarkEnd w:id="419"/>
      <w:bookmarkEnd w:id="420"/>
      <w:bookmarkEnd w:id="421"/>
      <w:bookmarkEnd w:id="422"/>
      <w:bookmarkEnd w:id="423"/>
    </w:p>
    <w:p>
      <w:pPr>
        <w:keepNext/>
        <w:keepLines/>
        <w:spacing w:before="360" w:beforeLines="150" w:after="120" w:afterLines="50" w:line="400" w:lineRule="exact"/>
        <w:ind w:firstLine="301"/>
        <w:jc w:val="center"/>
        <w:outlineLvl w:val="1"/>
        <w:rPr>
          <w:rFonts w:asciiTheme="minorEastAsia" w:hAnsiTheme="minorEastAsia" w:eastAsiaTheme="minorEastAsia" w:cstheme="minorEastAsia"/>
          <w:b/>
          <w:bCs/>
          <w:color w:val="auto"/>
          <w:sz w:val="24"/>
          <w:szCs w:val="24"/>
          <w:highlight w:val="none"/>
        </w:rPr>
      </w:pPr>
      <w:bookmarkStart w:id="424" w:name="_Toc297017781"/>
      <w:bookmarkStart w:id="425" w:name="_Toc406074420"/>
      <w:bookmarkStart w:id="426" w:name="_Toc18320"/>
      <w:r>
        <w:rPr>
          <w:rFonts w:hint="eastAsia" w:asciiTheme="minorEastAsia" w:hAnsiTheme="minorEastAsia" w:eastAsiaTheme="minorEastAsia" w:cstheme="minorEastAsia"/>
          <w:b/>
          <w:bCs/>
          <w:color w:val="auto"/>
          <w:sz w:val="24"/>
          <w:szCs w:val="24"/>
          <w:highlight w:val="none"/>
        </w:rPr>
        <w:t>一、合同协议书</w:t>
      </w:r>
      <w:bookmarkEnd w:id="424"/>
      <w:bookmarkEnd w:id="425"/>
      <w:bookmarkEnd w:id="426"/>
    </w:p>
    <w:p>
      <w:pPr>
        <w:spacing w:line="360" w:lineRule="auto"/>
        <w:rPr>
          <w:color w:val="auto"/>
          <w:szCs w:val="21"/>
          <w:highlight w:val="none"/>
          <w:u w:val="single"/>
        </w:rPr>
      </w:pPr>
      <w:r>
        <w:rPr>
          <w:rFonts w:hint="eastAsia"/>
          <w:color w:val="auto"/>
          <w:szCs w:val="21"/>
          <w:highlight w:val="none"/>
        </w:rPr>
        <w:t>甲方（招标人、总承包单位）：</w:t>
      </w:r>
      <w:r>
        <w:rPr>
          <w:rFonts w:hint="eastAsia"/>
          <w:color w:val="auto"/>
          <w:szCs w:val="21"/>
          <w:highlight w:val="none"/>
          <w:u w:val="single"/>
        </w:rPr>
        <w:t xml:space="preserve">浙江精工钢结构集团有限公司 </w:t>
      </w:r>
    </w:p>
    <w:p>
      <w:pPr>
        <w:spacing w:line="360" w:lineRule="auto"/>
        <w:rPr>
          <w:color w:val="auto"/>
          <w:szCs w:val="21"/>
          <w:highlight w:val="none"/>
          <w:u w:val="single"/>
        </w:rPr>
      </w:pPr>
      <w:r>
        <w:rPr>
          <w:rFonts w:hint="eastAsia"/>
          <w:color w:val="auto"/>
          <w:szCs w:val="21"/>
          <w:highlight w:val="none"/>
        </w:rPr>
        <w:t>乙方（供应商）：</w:t>
      </w:r>
      <w:r>
        <w:rPr>
          <w:rFonts w:hint="eastAsia"/>
          <w:color w:val="auto"/>
          <w:szCs w:val="21"/>
          <w:highlight w:val="none"/>
          <w:u w:val="single"/>
        </w:rPr>
        <w:t xml:space="preserve">             （供应商名称）           </w:t>
      </w:r>
    </w:p>
    <w:p>
      <w:pPr>
        <w:keepNext/>
        <w:keepLines/>
        <w:spacing w:line="360" w:lineRule="auto"/>
        <w:outlineLvl w:val="1"/>
        <w:rPr>
          <w:color w:val="auto"/>
          <w:szCs w:val="21"/>
          <w:highlight w:val="none"/>
          <w:u w:val="single"/>
        </w:rPr>
      </w:pPr>
      <w:r>
        <w:rPr>
          <w:rFonts w:hint="eastAsia"/>
          <w:color w:val="auto"/>
          <w:szCs w:val="21"/>
          <w:highlight w:val="none"/>
        </w:rPr>
        <w:t>丙方（业主、使用人）：</w:t>
      </w:r>
      <w:r>
        <w:rPr>
          <w:rFonts w:hint="eastAsia"/>
          <w:color w:val="auto"/>
          <w:szCs w:val="21"/>
          <w:highlight w:val="none"/>
          <w:u w:val="single"/>
        </w:rPr>
        <w:t>绍兴市妇幼保健院、</w:t>
      </w:r>
    </w:p>
    <w:p>
      <w:pPr>
        <w:keepNext/>
        <w:keepLines/>
        <w:spacing w:line="360" w:lineRule="auto"/>
        <w:outlineLvl w:val="1"/>
        <w:rPr>
          <w:b/>
          <w:bCs/>
          <w:color w:val="auto"/>
          <w:szCs w:val="21"/>
          <w:highlight w:val="none"/>
        </w:rPr>
      </w:pPr>
      <w:r>
        <w:rPr>
          <w:rFonts w:hint="eastAsia"/>
          <w:color w:val="auto"/>
          <w:szCs w:val="21"/>
          <w:highlight w:val="none"/>
          <w:u w:val="single"/>
        </w:rPr>
        <w:t xml:space="preserve">丁方（代建单位）绍兴市交通建设有限公司     </w:t>
      </w:r>
    </w:p>
    <w:p>
      <w:pPr>
        <w:spacing w:line="360" w:lineRule="auto"/>
        <w:ind w:firstLine="420" w:firstLineChars="200"/>
        <w:rPr>
          <w:snapToGrid w:val="0"/>
          <w:color w:val="auto"/>
          <w:szCs w:val="21"/>
          <w:highlight w:val="none"/>
        </w:rPr>
      </w:pPr>
      <w:r>
        <w:rPr>
          <w:rFonts w:hint="eastAsia"/>
          <w:snapToGrid w:val="0"/>
          <w:color w:val="auto"/>
          <w:szCs w:val="21"/>
          <w:highlight w:val="none"/>
          <w:u w:val="single"/>
        </w:rPr>
        <w:t>鉴于：丙方为</w:t>
      </w:r>
      <w:r>
        <w:rPr>
          <w:rFonts w:hint="eastAsia"/>
          <w:color w:val="auto"/>
          <w:szCs w:val="21"/>
          <w:highlight w:val="none"/>
          <w:u w:val="single"/>
        </w:rPr>
        <w:t>绍兴市妇幼保健院（绍兴市儿童医院）建设项目</w:t>
      </w:r>
      <w:r>
        <w:rPr>
          <w:rFonts w:hint="eastAsia"/>
          <w:snapToGrid w:val="0"/>
          <w:color w:val="auto"/>
          <w:szCs w:val="21"/>
          <w:highlight w:val="none"/>
          <w:u w:val="single"/>
        </w:rPr>
        <w:t>业主单位，丁方为该项目代建方，甲方为该项目总承包单位。现由</w:t>
      </w:r>
      <w:r>
        <w:rPr>
          <w:rFonts w:hint="eastAsia"/>
          <w:snapToGrid w:val="0"/>
          <w:color w:val="auto"/>
          <w:szCs w:val="21"/>
          <w:highlight w:val="none"/>
        </w:rPr>
        <w:t>甲方作为招标人对所需的进行招标（招标编号：         ）。经甲方定标确定为该供应商（乙方）。甲乙丙丁四方同意按照下面的条款和条件，签署本合同。</w:t>
      </w:r>
    </w:p>
    <w:p>
      <w:pPr>
        <w:spacing w:line="360" w:lineRule="auto"/>
        <w:ind w:firstLine="487" w:firstLineChars="231"/>
        <w:rPr>
          <w:b/>
          <w:color w:val="auto"/>
          <w:szCs w:val="21"/>
          <w:highlight w:val="none"/>
        </w:rPr>
      </w:pPr>
      <w:r>
        <w:rPr>
          <w:rFonts w:hint="eastAsia"/>
          <w:b/>
          <w:color w:val="auto"/>
          <w:szCs w:val="21"/>
          <w:highlight w:val="none"/>
        </w:rPr>
        <w:t>一、项目概况</w:t>
      </w:r>
    </w:p>
    <w:p>
      <w:pPr>
        <w:spacing w:line="360" w:lineRule="auto"/>
        <w:ind w:firstLine="420" w:firstLineChars="200"/>
        <w:rPr>
          <w:color w:val="auto"/>
          <w:szCs w:val="21"/>
          <w:highlight w:val="none"/>
          <w:u w:val="single"/>
        </w:rPr>
      </w:pPr>
      <w:r>
        <w:rPr>
          <w:rFonts w:hint="eastAsia"/>
          <w:color w:val="auto"/>
          <w:szCs w:val="21"/>
          <w:highlight w:val="none"/>
        </w:rPr>
        <w:t>1、项目名称：</w:t>
      </w:r>
      <w:r>
        <w:rPr>
          <w:rFonts w:hint="eastAsia"/>
          <w:color w:val="auto"/>
          <w:szCs w:val="21"/>
          <w:highlight w:val="none"/>
          <w:u w:val="single"/>
        </w:rPr>
        <w:t>绍兴市妇幼保健院（绍兴市儿童医院）建设项目净化项目。</w:t>
      </w:r>
    </w:p>
    <w:p>
      <w:pPr>
        <w:pStyle w:val="2"/>
        <w:spacing w:line="360" w:lineRule="auto"/>
        <w:ind w:firstLineChars="200"/>
        <w:rPr>
          <w:color w:val="auto"/>
          <w:sz w:val="21"/>
          <w:szCs w:val="21"/>
          <w:highlight w:val="none"/>
          <w:u w:val="single"/>
        </w:rPr>
      </w:pPr>
      <w:r>
        <w:rPr>
          <w:rFonts w:hint="eastAsia"/>
          <w:color w:val="auto"/>
          <w:sz w:val="21"/>
          <w:szCs w:val="21"/>
          <w:highlight w:val="none"/>
        </w:rPr>
        <w:t>2、项目地点：</w:t>
      </w:r>
      <w:r>
        <w:rPr>
          <w:rFonts w:hint="eastAsia"/>
          <w:color w:val="auto"/>
          <w:sz w:val="21"/>
          <w:szCs w:val="21"/>
          <w:highlight w:val="none"/>
          <w:u w:val="single"/>
        </w:rPr>
        <w:t>绍兴市越城区。</w:t>
      </w:r>
    </w:p>
    <w:p>
      <w:pPr>
        <w:spacing w:line="360" w:lineRule="auto"/>
        <w:ind w:firstLine="420" w:firstLineChars="200"/>
        <w:rPr>
          <w:rFonts w:ascii="宋体" w:hAnsi="宋体"/>
          <w:color w:val="auto"/>
          <w:szCs w:val="21"/>
          <w:highlight w:val="none"/>
        </w:rPr>
      </w:pPr>
      <w:r>
        <w:rPr>
          <w:rFonts w:hint="eastAsia"/>
          <w:color w:val="auto"/>
          <w:szCs w:val="21"/>
          <w:highlight w:val="none"/>
        </w:rPr>
        <w:t>3、项目内容：</w:t>
      </w:r>
      <w:r>
        <w:rPr>
          <w:rFonts w:hint="eastAsia" w:ascii="宋体" w:hAnsi="宋体"/>
          <w:color w:val="auto"/>
          <w:szCs w:val="21"/>
          <w:highlight w:val="none"/>
        </w:rPr>
        <w:t>绍兴市妇幼保健院（绍兴市儿童医院）净化工程，范围主要包括：手术部、隔离待产分娩病房、产房手术室、PICU和MICU负压病房、中心供应室、静脉配置中心、病理科PCR实验室、遗传科PCR实验室、细胞、分子实验室等科室工作区域的装饰、空调、强电、弱电、给排水专业，详见招标文件的“技术标准和要求”。</w:t>
      </w:r>
    </w:p>
    <w:p>
      <w:pPr>
        <w:spacing w:line="360" w:lineRule="auto"/>
        <w:ind w:firstLine="420" w:firstLineChars="200"/>
        <w:rPr>
          <w:color w:val="auto"/>
          <w:szCs w:val="21"/>
          <w:highlight w:val="none"/>
          <w:u w:val="single"/>
        </w:rPr>
      </w:pPr>
      <w:r>
        <w:rPr>
          <w:rFonts w:hint="eastAsia" w:ascii="宋体" w:hAnsi="宋体"/>
          <w:color w:val="auto"/>
          <w:szCs w:val="21"/>
          <w:highlight w:val="none"/>
        </w:rPr>
        <w:t>招标人提供的净化工程的施工图纸及工程量清单中的所有内容，包括净化系统的进一步深化设计、预留孔洞、设备基础、预埋铁构件、预埋管、套管及其封堵、设备材料供货、运输、卸货、保管、施工、安装、调试、检测、并最终通过验收，同时负责技术服务与培训，提交相关技术资料以及质保期内的维修保养等</w:t>
      </w:r>
      <w:r>
        <w:rPr>
          <w:rFonts w:hint="eastAsia"/>
          <w:color w:val="auto"/>
          <w:szCs w:val="21"/>
          <w:highlight w:val="none"/>
          <w:u w:val="single"/>
        </w:rPr>
        <w:t>。</w:t>
      </w:r>
    </w:p>
    <w:p>
      <w:pPr>
        <w:spacing w:line="360" w:lineRule="auto"/>
        <w:ind w:firstLine="422" w:firstLineChars="200"/>
        <w:rPr>
          <w:b/>
          <w:color w:val="auto"/>
          <w:szCs w:val="21"/>
          <w:highlight w:val="none"/>
        </w:rPr>
      </w:pPr>
      <w:r>
        <w:rPr>
          <w:rFonts w:hint="eastAsia"/>
          <w:b/>
          <w:color w:val="auto"/>
          <w:szCs w:val="21"/>
          <w:highlight w:val="none"/>
        </w:rPr>
        <w:t>二、合同范围和条件</w:t>
      </w:r>
    </w:p>
    <w:p>
      <w:pPr>
        <w:spacing w:line="360" w:lineRule="auto"/>
        <w:ind w:firstLine="485" w:firstLineChars="231"/>
        <w:rPr>
          <w:color w:val="auto"/>
          <w:szCs w:val="21"/>
          <w:highlight w:val="none"/>
        </w:rPr>
      </w:pPr>
      <w:r>
        <w:rPr>
          <w:rFonts w:hint="eastAsia"/>
          <w:color w:val="auto"/>
          <w:szCs w:val="21"/>
          <w:highlight w:val="none"/>
        </w:rPr>
        <w:t>本合同的范围和条件应与上述规定的合同文件内容一致。</w:t>
      </w:r>
    </w:p>
    <w:p>
      <w:pPr>
        <w:spacing w:line="360" w:lineRule="auto"/>
        <w:ind w:firstLine="487" w:firstLineChars="231"/>
        <w:rPr>
          <w:b/>
          <w:color w:val="auto"/>
          <w:szCs w:val="21"/>
          <w:highlight w:val="none"/>
        </w:rPr>
      </w:pPr>
      <w:r>
        <w:rPr>
          <w:rFonts w:hint="eastAsia"/>
          <w:b/>
          <w:color w:val="auto"/>
          <w:szCs w:val="21"/>
          <w:highlight w:val="none"/>
        </w:rPr>
        <w:t>三、合同标的及数量</w:t>
      </w:r>
    </w:p>
    <w:p>
      <w:pPr>
        <w:spacing w:line="360" w:lineRule="auto"/>
        <w:ind w:firstLine="485" w:firstLineChars="231"/>
        <w:rPr>
          <w:color w:val="auto"/>
          <w:szCs w:val="21"/>
          <w:highlight w:val="none"/>
        </w:rPr>
      </w:pPr>
      <w:r>
        <w:rPr>
          <w:rFonts w:hint="eastAsia"/>
          <w:color w:val="auto"/>
          <w:szCs w:val="21"/>
          <w:highlight w:val="none"/>
        </w:rPr>
        <w:t>本合同要求提供的产品、规格和数量见招标文件相关要求。</w:t>
      </w:r>
    </w:p>
    <w:p>
      <w:pPr>
        <w:spacing w:line="360" w:lineRule="auto"/>
        <w:ind w:firstLine="487" w:firstLineChars="231"/>
        <w:rPr>
          <w:b/>
          <w:color w:val="auto"/>
          <w:szCs w:val="21"/>
          <w:highlight w:val="none"/>
        </w:rPr>
      </w:pPr>
      <w:r>
        <w:rPr>
          <w:rFonts w:hint="eastAsia"/>
          <w:b/>
          <w:color w:val="auto"/>
          <w:szCs w:val="21"/>
          <w:highlight w:val="none"/>
        </w:rPr>
        <w:t>四、合同工期</w:t>
      </w:r>
    </w:p>
    <w:p>
      <w:pPr>
        <w:pStyle w:val="62"/>
        <w:spacing w:line="360" w:lineRule="auto"/>
        <w:ind w:firstLine="630" w:firstLineChars="300"/>
        <w:rPr>
          <w:rFonts w:ascii="宋体" w:hAnsi="宋体" w:cs="宋体"/>
          <w:color w:val="auto"/>
          <w:highlight w:val="none"/>
        </w:rPr>
      </w:pPr>
      <w:r>
        <w:rPr>
          <w:rFonts w:hint="eastAsia" w:ascii="宋体" w:hAnsi="宋体" w:cs="宋体"/>
          <w:color w:val="auto"/>
          <w:highlight w:val="none"/>
        </w:rPr>
        <w:t>计划开工日期：  /  年 / 月 / 日。(以开工报告日期为准）</w:t>
      </w:r>
    </w:p>
    <w:p>
      <w:pPr>
        <w:pStyle w:val="62"/>
        <w:spacing w:line="360" w:lineRule="auto"/>
        <w:ind w:firstLine="630" w:firstLineChars="300"/>
        <w:rPr>
          <w:rFonts w:ascii="宋体" w:hAnsi="宋体" w:cs="宋体"/>
          <w:color w:val="auto"/>
          <w:highlight w:val="none"/>
        </w:rPr>
      </w:pPr>
      <w:r>
        <w:rPr>
          <w:rFonts w:hint="eastAsia" w:ascii="宋体" w:hAnsi="宋体" w:cs="宋体"/>
          <w:color w:val="auto"/>
          <w:highlight w:val="none"/>
        </w:rPr>
        <w:t>计划竣工日期： /  年 / 月 / 日。</w:t>
      </w:r>
    </w:p>
    <w:p>
      <w:pPr>
        <w:pStyle w:val="62"/>
        <w:spacing w:line="360" w:lineRule="auto"/>
        <w:ind w:firstLine="632" w:firstLineChars="300"/>
        <w:rPr>
          <w:rFonts w:ascii="宋体" w:hAnsi="宋体" w:cs="宋体"/>
          <w:color w:val="auto"/>
          <w:highlight w:val="none"/>
        </w:rPr>
      </w:pPr>
      <w:r>
        <w:rPr>
          <w:rFonts w:hint="eastAsia" w:hAnsi="宋体"/>
          <w:b/>
          <w:bCs/>
          <w:color w:val="auto"/>
          <w:highlight w:val="none"/>
          <w:u w:val="single"/>
        </w:rPr>
        <w:t>以招标人发出的开工指令后180天内，完成设备及材料供货、安装、调试、试运行、独立第三方100%检测、验收及交付使用，具体应与工程施工总进度计划同步</w:t>
      </w:r>
      <w:r>
        <w:rPr>
          <w:rFonts w:hint="eastAsia" w:ascii="宋体" w:hAnsi="宋体" w:cs="宋体"/>
          <w:color w:val="auto"/>
          <w:highlight w:val="none"/>
        </w:rPr>
        <w:t>。</w:t>
      </w:r>
    </w:p>
    <w:p>
      <w:pPr>
        <w:spacing w:line="360" w:lineRule="auto"/>
        <w:ind w:firstLine="487" w:firstLineChars="231"/>
        <w:rPr>
          <w:b/>
          <w:color w:val="auto"/>
          <w:szCs w:val="21"/>
          <w:highlight w:val="none"/>
        </w:rPr>
      </w:pPr>
      <w:r>
        <w:rPr>
          <w:rFonts w:hint="eastAsia"/>
          <w:b/>
          <w:color w:val="auto"/>
          <w:szCs w:val="21"/>
          <w:highlight w:val="none"/>
        </w:rPr>
        <w:t>五、质量标准</w:t>
      </w:r>
    </w:p>
    <w:p>
      <w:pPr>
        <w:pStyle w:val="3"/>
        <w:spacing w:line="360" w:lineRule="auto"/>
        <w:ind w:firstLine="630" w:firstLineChars="300"/>
        <w:rPr>
          <w:color w:val="auto"/>
          <w:sz w:val="21"/>
          <w:szCs w:val="21"/>
          <w:highlight w:val="none"/>
        </w:rPr>
      </w:pPr>
      <w:r>
        <w:rPr>
          <w:rFonts w:hint="eastAsia"/>
          <w:color w:val="auto"/>
          <w:sz w:val="21"/>
          <w:szCs w:val="21"/>
          <w:highlight w:val="none"/>
        </w:rPr>
        <w:t>合格。全力配合甲方争创钱江杯、鲁班奖。</w:t>
      </w:r>
    </w:p>
    <w:p>
      <w:pPr>
        <w:spacing w:line="360" w:lineRule="auto"/>
        <w:ind w:firstLine="487" w:firstLineChars="231"/>
        <w:rPr>
          <w:b/>
          <w:color w:val="auto"/>
          <w:szCs w:val="21"/>
          <w:highlight w:val="none"/>
        </w:rPr>
      </w:pPr>
      <w:r>
        <w:rPr>
          <w:rFonts w:hint="eastAsia"/>
          <w:b/>
          <w:color w:val="auto"/>
          <w:szCs w:val="21"/>
          <w:highlight w:val="none"/>
        </w:rPr>
        <w:t>六、合同总价</w:t>
      </w:r>
    </w:p>
    <w:p>
      <w:pPr>
        <w:spacing w:line="360" w:lineRule="auto"/>
        <w:ind w:firstLine="420" w:firstLineChars="200"/>
        <w:rPr>
          <w:color w:val="auto"/>
          <w:szCs w:val="21"/>
          <w:highlight w:val="none"/>
        </w:rPr>
      </w:pPr>
      <w:r>
        <w:rPr>
          <w:rFonts w:hint="eastAsia"/>
          <w:color w:val="auto"/>
          <w:szCs w:val="21"/>
          <w:highlight w:val="none"/>
        </w:rPr>
        <w:t>本合同为总价合同，合同总价（含税中标价）为人民币</w:t>
      </w:r>
      <w:r>
        <w:rPr>
          <w:color w:val="auto"/>
          <w:szCs w:val="21"/>
          <w:highlight w:val="none"/>
          <w:u w:val="single"/>
        </w:rPr>
        <w:t xml:space="preserve">          </w:t>
      </w:r>
      <w:r>
        <w:rPr>
          <w:rFonts w:hint="eastAsia"/>
          <w:color w:val="auto"/>
          <w:szCs w:val="21"/>
          <w:highlight w:val="none"/>
        </w:rPr>
        <w:t>元，大写</w:t>
      </w:r>
      <w:r>
        <w:rPr>
          <w:rFonts w:hint="eastAsia"/>
          <w:color w:val="auto"/>
          <w:szCs w:val="21"/>
          <w:highlight w:val="none"/>
          <w:u w:val="single"/>
        </w:rPr>
        <w:t xml:space="preserve">          </w:t>
      </w:r>
      <w:r>
        <w:rPr>
          <w:rFonts w:hint="eastAsia"/>
          <w:color w:val="auto"/>
          <w:szCs w:val="21"/>
          <w:highlight w:val="none"/>
        </w:rPr>
        <w:t xml:space="preserve">元。 </w:t>
      </w:r>
    </w:p>
    <w:p>
      <w:pPr>
        <w:pStyle w:val="2"/>
        <w:spacing w:line="360" w:lineRule="auto"/>
        <w:ind w:firstLineChars="200"/>
        <w:rPr>
          <w:color w:val="auto"/>
          <w:sz w:val="21"/>
          <w:szCs w:val="21"/>
          <w:highlight w:val="none"/>
        </w:rPr>
      </w:pPr>
      <w:r>
        <w:rPr>
          <w:rFonts w:hint="eastAsia"/>
          <w:color w:val="auto"/>
          <w:sz w:val="21"/>
          <w:szCs w:val="21"/>
          <w:highlight w:val="none"/>
        </w:rPr>
        <w:t>本项目釆用总价承包，货物清单中的工程量、清单描述若与图纸及答疑不一致时，以图纸及答疑为准并须满足各专业的功能要求，由乙方自行复核计算。若图纸需二次深化，则由乙方自行深化完成并经丙方同意，工程量及各种相关一切费用不再增加。图纸中设备或材料若已有变更升级的相应设备或材料则需变更为升级后的设备或材料经丙、丁方同意，费用也不再增加。丙、丁方有权增减工作范围，该费用应予以增减。甲方所有的变更，必须经过丙、丁方书面同意。</w:t>
      </w:r>
    </w:p>
    <w:p>
      <w:pPr>
        <w:spacing w:line="360" w:lineRule="auto"/>
        <w:ind w:firstLine="487" w:firstLineChars="231"/>
        <w:rPr>
          <w:b/>
          <w:color w:val="auto"/>
          <w:szCs w:val="21"/>
          <w:highlight w:val="none"/>
        </w:rPr>
      </w:pPr>
      <w:r>
        <w:rPr>
          <w:rFonts w:hint="eastAsia"/>
          <w:b/>
          <w:color w:val="auto"/>
          <w:szCs w:val="21"/>
          <w:highlight w:val="none"/>
        </w:rPr>
        <w:t>七、项目负责人</w:t>
      </w:r>
    </w:p>
    <w:p>
      <w:pPr>
        <w:pStyle w:val="2"/>
        <w:spacing w:line="360" w:lineRule="auto"/>
        <w:ind w:firstLine="630" w:firstLineChars="300"/>
        <w:rPr>
          <w:color w:val="auto"/>
          <w:sz w:val="21"/>
          <w:szCs w:val="21"/>
          <w:highlight w:val="none"/>
          <w:u w:val="single"/>
        </w:rPr>
      </w:pPr>
      <w:r>
        <w:rPr>
          <w:rFonts w:hint="eastAsia"/>
          <w:color w:val="auto"/>
          <w:sz w:val="21"/>
          <w:szCs w:val="21"/>
          <w:highlight w:val="none"/>
        </w:rPr>
        <w:t>乙方项目负责人：身份证号</w:t>
      </w:r>
      <w:r>
        <w:rPr>
          <w:rFonts w:hint="eastAsia"/>
          <w:color w:val="auto"/>
          <w:sz w:val="21"/>
          <w:szCs w:val="21"/>
          <w:highlight w:val="none"/>
          <w:u w:val="single"/>
        </w:rPr>
        <w:t>：                   。</w:t>
      </w:r>
    </w:p>
    <w:p>
      <w:pPr>
        <w:spacing w:line="360" w:lineRule="auto"/>
        <w:ind w:firstLine="487" w:firstLineChars="231"/>
        <w:rPr>
          <w:b/>
          <w:color w:val="auto"/>
          <w:szCs w:val="21"/>
          <w:highlight w:val="none"/>
        </w:rPr>
      </w:pPr>
      <w:r>
        <w:rPr>
          <w:rFonts w:hint="eastAsia"/>
          <w:b/>
          <w:color w:val="auto"/>
          <w:szCs w:val="21"/>
          <w:highlight w:val="none"/>
        </w:rPr>
        <w:t>八、合同文件</w:t>
      </w:r>
    </w:p>
    <w:p>
      <w:pPr>
        <w:spacing w:line="360" w:lineRule="auto"/>
        <w:ind w:firstLine="485" w:firstLineChars="231"/>
        <w:rPr>
          <w:color w:val="auto"/>
          <w:szCs w:val="21"/>
          <w:highlight w:val="none"/>
        </w:rPr>
      </w:pPr>
      <w:r>
        <w:rPr>
          <w:rFonts w:hint="eastAsia"/>
          <w:color w:val="auto"/>
          <w:szCs w:val="21"/>
          <w:highlight w:val="none"/>
        </w:rPr>
        <w:t>下列文件构成本合同的组成部分：</w:t>
      </w:r>
    </w:p>
    <w:p>
      <w:pPr>
        <w:spacing w:line="360" w:lineRule="auto"/>
        <w:ind w:firstLine="485" w:firstLineChars="231"/>
        <w:rPr>
          <w:color w:val="auto"/>
          <w:szCs w:val="21"/>
          <w:highlight w:val="none"/>
        </w:rPr>
      </w:pPr>
      <w:r>
        <w:rPr>
          <w:rFonts w:hint="eastAsia"/>
          <w:color w:val="auto"/>
          <w:szCs w:val="21"/>
          <w:highlight w:val="none"/>
        </w:rPr>
        <w:t>投标文件、招标文件、中标通知书、成交合同、合同补充条款、补充协议或说明（按从后往前的顺序解释）。</w:t>
      </w:r>
    </w:p>
    <w:p>
      <w:pPr>
        <w:spacing w:line="360" w:lineRule="auto"/>
        <w:ind w:firstLine="487" w:firstLineChars="231"/>
        <w:rPr>
          <w:b/>
          <w:color w:val="auto"/>
          <w:szCs w:val="21"/>
          <w:highlight w:val="none"/>
        </w:rPr>
      </w:pPr>
      <w:r>
        <w:rPr>
          <w:rFonts w:hint="eastAsia"/>
          <w:b/>
          <w:color w:val="auto"/>
          <w:szCs w:val="21"/>
          <w:highlight w:val="none"/>
        </w:rPr>
        <w:t>九、签订时间</w:t>
      </w:r>
    </w:p>
    <w:p>
      <w:pPr>
        <w:pStyle w:val="2"/>
        <w:spacing w:line="360" w:lineRule="auto"/>
        <w:ind w:firstLine="630" w:firstLineChars="300"/>
        <w:rPr>
          <w:color w:val="auto"/>
          <w:sz w:val="21"/>
          <w:szCs w:val="21"/>
          <w:highlight w:val="none"/>
        </w:rPr>
      </w:pPr>
      <w:r>
        <w:rPr>
          <w:rFonts w:hint="eastAsia"/>
          <w:color w:val="auto"/>
          <w:sz w:val="21"/>
          <w:szCs w:val="21"/>
          <w:highlight w:val="none"/>
        </w:rPr>
        <w:t>本合同于   年  月  日签订。</w:t>
      </w:r>
    </w:p>
    <w:p>
      <w:pPr>
        <w:spacing w:line="360" w:lineRule="auto"/>
        <w:ind w:firstLine="487" w:firstLineChars="231"/>
        <w:rPr>
          <w:b/>
          <w:color w:val="auto"/>
          <w:szCs w:val="21"/>
          <w:highlight w:val="none"/>
        </w:rPr>
      </w:pPr>
      <w:r>
        <w:rPr>
          <w:rFonts w:hint="eastAsia"/>
          <w:b/>
          <w:color w:val="auto"/>
          <w:szCs w:val="21"/>
          <w:highlight w:val="none"/>
        </w:rPr>
        <w:t>十、签订地点</w:t>
      </w:r>
    </w:p>
    <w:p>
      <w:pPr>
        <w:pStyle w:val="2"/>
        <w:spacing w:line="360" w:lineRule="auto"/>
        <w:ind w:firstLine="630" w:firstLineChars="300"/>
        <w:rPr>
          <w:color w:val="auto"/>
          <w:sz w:val="21"/>
          <w:szCs w:val="21"/>
          <w:highlight w:val="none"/>
        </w:rPr>
      </w:pPr>
      <w:r>
        <w:rPr>
          <w:rFonts w:hint="eastAsia"/>
          <w:color w:val="auto"/>
          <w:sz w:val="21"/>
          <w:szCs w:val="21"/>
          <w:highlight w:val="none"/>
        </w:rPr>
        <w:t>本合同在</w:t>
      </w:r>
      <w:r>
        <w:rPr>
          <w:rFonts w:hint="eastAsia"/>
          <w:color w:val="auto"/>
          <w:sz w:val="21"/>
          <w:szCs w:val="21"/>
          <w:highlight w:val="none"/>
          <w:u w:val="single"/>
        </w:rPr>
        <w:t xml:space="preserve">                       </w:t>
      </w:r>
      <w:r>
        <w:rPr>
          <w:rFonts w:hint="eastAsia"/>
          <w:color w:val="auto"/>
          <w:sz w:val="21"/>
          <w:szCs w:val="21"/>
          <w:highlight w:val="none"/>
        </w:rPr>
        <w:t>签订。</w:t>
      </w:r>
    </w:p>
    <w:p>
      <w:pPr>
        <w:spacing w:line="360" w:lineRule="auto"/>
        <w:ind w:firstLine="487" w:firstLineChars="231"/>
        <w:rPr>
          <w:b/>
          <w:color w:val="auto"/>
          <w:szCs w:val="21"/>
          <w:highlight w:val="none"/>
        </w:rPr>
      </w:pPr>
      <w:r>
        <w:rPr>
          <w:rFonts w:hint="eastAsia"/>
          <w:b/>
          <w:color w:val="auto"/>
          <w:szCs w:val="21"/>
          <w:highlight w:val="none"/>
        </w:rPr>
        <w:t>十一、补充地点</w:t>
      </w:r>
    </w:p>
    <w:p>
      <w:pPr>
        <w:pStyle w:val="2"/>
        <w:spacing w:line="360" w:lineRule="auto"/>
        <w:ind w:firstLine="630" w:firstLineChars="300"/>
        <w:rPr>
          <w:color w:val="auto"/>
          <w:sz w:val="21"/>
          <w:szCs w:val="21"/>
          <w:highlight w:val="none"/>
        </w:rPr>
      </w:pPr>
      <w:r>
        <w:rPr>
          <w:rFonts w:hint="eastAsia"/>
          <w:color w:val="auto"/>
          <w:sz w:val="21"/>
          <w:szCs w:val="21"/>
          <w:highlight w:val="none"/>
        </w:rPr>
        <w:t>合同未尽事宜，合同当事人另行签订补充协议，补充协议是合同的组成部分。</w:t>
      </w:r>
    </w:p>
    <w:p>
      <w:pPr>
        <w:spacing w:line="360" w:lineRule="auto"/>
        <w:ind w:firstLine="487" w:firstLineChars="231"/>
        <w:rPr>
          <w:b/>
          <w:color w:val="auto"/>
          <w:szCs w:val="21"/>
          <w:highlight w:val="none"/>
        </w:rPr>
      </w:pPr>
      <w:r>
        <w:rPr>
          <w:rFonts w:hint="eastAsia"/>
          <w:b/>
          <w:color w:val="auto"/>
          <w:szCs w:val="21"/>
          <w:highlight w:val="none"/>
        </w:rPr>
        <w:t>十二、合同的生效</w:t>
      </w:r>
    </w:p>
    <w:p>
      <w:pPr>
        <w:spacing w:line="360" w:lineRule="auto"/>
        <w:ind w:firstLine="510"/>
        <w:rPr>
          <w:color w:val="auto"/>
          <w:szCs w:val="21"/>
          <w:highlight w:val="none"/>
        </w:rPr>
      </w:pPr>
      <w:r>
        <w:rPr>
          <w:rFonts w:hint="eastAsia"/>
          <w:color w:val="auto"/>
          <w:szCs w:val="21"/>
          <w:highlight w:val="none"/>
        </w:rPr>
        <w:t>本合同在乙方向甲方提交全部履约保证金后，且经甲乙丙丁四方法定代表人或授权代表签字并加盖公章之日起生效。</w:t>
      </w:r>
    </w:p>
    <w:p>
      <w:pPr>
        <w:spacing w:line="360" w:lineRule="auto"/>
        <w:ind w:firstLine="510"/>
        <w:rPr>
          <w:color w:val="auto"/>
          <w:szCs w:val="21"/>
          <w:highlight w:val="none"/>
        </w:rPr>
      </w:pPr>
      <w:r>
        <w:rPr>
          <w:rFonts w:hint="eastAsia"/>
          <w:color w:val="auto"/>
          <w:szCs w:val="21"/>
          <w:highlight w:val="none"/>
        </w:rPr>
        <w:t>合同一式</w:t>
      </w:r>
      <w:r>
        <w:rPr>
          <w:color w:val="auto"/>
          <w:szCs w:val="21"/>
          <w:highlight w:val="none"/>
        </w:rPr>
        <w:t>16</w:t>
      </w:r>
      <w:r>
        <w:rPr>
          <w:rFonts w:hint="eastAsia"/>
          <w:color w:val="auto"/>
          <w:szCs w:val="21"/>
          <w:highlight w:val="none"/>
        </w:rPr>
        <w:t>份，正</w:t>
      </w:r>
      <w:r>
        <w:rPr>
          <w:color w:val="auto"/>
          <w:szCs w:val="21"/>
          <w:highlight w:val="none"/>
        </w:rPr>
        <w:t>4</w:t>
      </w:r>
      <w:r>
        <w:rPr>
          <w:rFonts w:hint="eastAsia"/>
          <w:color w:val="auto"/>
          <w:szCs w:val="21"/>
          <w:highlight w:val="none"/>
        </w:rPr>
        <w:t>份（甲、乙、丙、丁方各1份），副本</w:t>
      </w:r>
      <w:r>
        <w:rPr>
          <w:color w:val="auto"/>
          <w:szCs w:val="21"/>
          <w:highlight w:val="none"/>
        </w:rPr>
        <w:t>12</w:t>
      </w:r>
      <w:r>
        <w:rPr>
          <w:rFonts w:hint="eastAsia"/>
          <w:color w:val="auto"/>
          <w:szCs w:val="21"/>
          <w:highlight w:val="none"/>
        </w:rPr>
        <w:t xml:space="preserve"> 份（甲、乙、丙、丁方各3份）。</w:t>
      </w:r>
    </w:p>
    <w:p>
      <w:pPr>
        <w:spacing w:line="360" w:lineRule="auto"/>
        <w:ind w:firstLine="210"/>
        <w:rPr>
          <w:color w:val="auto"/>
          <w:szCs w:val="21"/>
          <w:highlight w:val="none"/>
        </w:rPr>
      </w:pPr>
    </w:p>
    <w:p>
      <w:pPr>
        <w:spacing w:line="360" w:lineRule="auto"/>
        <w:rPr>
          <w:color w:val="auto"/>
          <w:szCs w:val="21"/>
          <w:highlight w:val="none"/>
          <w:u w:val="single"/>
        </w:rPr>
      </w:pPr>
      <w:r>
        <w:rPr>
          <w:rFonts w:hint="eastAsia"/>
          <w:color w:val="auto"/>
          <w:szCs w:val="21"/>
          <w:highlight w:val="none"/>
        </w:rPr>
        <w:t>甲方：                                                    乙方：</w:t>
      </w:r>
      <w:r>
        <w:rPr>
          <w:rFonts w:hint="eastAsia"/>
          <w:color w:val="auto"/>
          <w:szCs w:val="21"/>
          <w:highlight w:val="none"/>
          <w:u w:val="single"/>
        </w:rPr>
        <w:t xml:space="preserve"> </w:t>
      </w:r>
    </w:p>
    <w:p>
      <w:pPr>
        <w:spacing w:line="360" w:lineRule="auto"/>
        <w:rPr>
          <w:color w:val="auto"/>
          <w:szCs w:val="21"/>
          <w:highlight w:val="none"/>
        </w:rPr>
      </w:pPr>
      <w:r>
        <w:rPr>
          <w:rFonts w:hint="eastAsia"/>
          <w:color w:val="auto"/>
          <w:szCs w:val="21"/>
          <w:highlight w:val="none"/>
          <w:u w:val="single"/>
        </w:rPr>
        <w:t xml:space="preserve"> (盖章）                                                  (盖章）               </w:t>
      </w:r>
    </w:p>
    <w:p>
      <w:pPr>
        <w:spacing w:line="360" w:lineRule="auto"/>
        <w:rPr>
          <w:color w:val="auto"/>
          <w:szCs w:val="21"/>
          <w:highlight w:val="none"/>
          <w:u w:val="single"/>
        </w:rPr>
      </w:pPr>
      <w:r>
        <w:rPr>
          <w:rFonts w:hint="eastAsia"/>
          <w:color w:val="auto"/>
          <w:szCs w:val="21"/>
          <w:highlight w:val="none"/>
        </w:rPr>
        <w:t>法定代表人或                                          法定代表人或</w:t>
      </w:r>
    </w:p>
    <w:p>
      <w:pPr>
        <w:spacing w:line="360" w:lineRule="auto"/>
        <w:rPr>
          <w:color w:val="auto"/>
          <w:szCs w:val="21"/>
          <w:highlight w:val="none"/>
        </w:rPr>
      </w:pPr>
      <w:r>
        <w:rPr>
          <w:rFonts w:hint="eastAsia"/>
          <w:color w:val="auto"/>
          <w:szCs w:val="21"/>
          <w:highlight w:val="none"/>
        </w:rPr>
        <w:t>其委托代理人：</w:t>
      </w:r>
      <w:r>
        <w:rPr>
          <w:rFonts w:hint="eastAsia"/>
          <w:color w:val="auto"/>
          <w:szCs w:val="21"/>
          <w:highlight w:val="none"/>
          <w:u w:val="single"/>
        </w:rPr>
        <w:t xml:space="preserve">       （签字）     </w:t>
      </w:r>
      <w:r>
        <w:rPr>
          <w:rFonts w:hint="eastAsia"/>
          <w:color w:val="auto"/>
          <w:szCs w:val="21"/>
          <w:highlight w:val="none"/>
        </w:rPr>
        <w:t xml:space="preserve">         托代理人：</w:t>
      </w:r>
      <w:r>
        <w:rPr>
          <w:rFonts w:hint="eastAsia"/>
          <w:color w:val="auto"/>
          <w:szCs w:val="21"/>
          <w:highlight w:val="none"/>
          <w:u w:val="single"/>
        </w:rPr>
        <w:t xml:space="preserve">     (签字)        </w:t>
      </w:r>
    </w:p>
    <w:p>
      <w:pPr>
        <w:tabs>
          <w:tab w:val="left" w:pos="4500"/>
        </w:tabs>
        <w:spacing w:line="360" w:lineRule="auto"/>
        <w:rPr>
          <w:color w:val="auto"/>
          <w:szCs w:val="21"/>
          <w:highlight w:val="none"/>
        </w:rPr>
      </w:pPr>
      <w:r>
        <w:rPr>
          <w:rFonts w:hint="eastAsia"/>
          <w:color w:val="auto"/>
          <w:szCs w:val="21"/>
          <w:highlight w:val="none"/>
        </w:rPr>
        <w:t>地址：                                                                 地址：</w:t>
      </w:r>
    </w:p>
    <w:p>
      <w:pPr>
        <w:spacing w:line="360" w:lineRule="auto"/>
        <w:rPr>
          <w:color w:val="auto"/>
          <w:szCs w:val="21"/>
          <w:highlight w:val="none"/>
        </w:rPr>
      </w:pPr>
      <w:r>
        <w:rPr>
          <w:rFonts w:hint="eastAsia"/>
          <w:color w:val="auto"/>
          <w:szCs w:val="21"/>
          <w:highlight w:val="none"/>
        </w:rPr>
        <w:t>邮政编码：                                                          邮政编码：</w:t>
      </w:r>
    </w:p>
    <w:p>
      <w:pPr>
        <w:spacing w:line="360" w:lineRule="auto"/>
        <w:rPr>
          <w:color w:val="auto"/>
          <w:szCs w:val="21"/>
          <w:highlight w:val="none"/>
        </w:rPr>
      </w:pPr>
      <w:r>
        <w:rPr>
          <w:rFonts w:hint="eastAsia"/>
          <w:color w:val="auto"/>
          <w:szCs w:val="21"/>
          <w:highlight w:val="none"/>
        </w:rPr>
        <w:t>电    话：                                                             电    话：</w:t>
      </w:r>
    </w:p>
    <w:p>
      <w:pPr>
        <w:spacing w:line="360" w:lineRule="auto"/>
        <w:rPr>
          <w:color w:val="auto"/>
          <w:szCs w:val="21"/>
          <w:highlight w:val="none"/>
          <w:u w:val="single"/>
        </w:rPr>
      </w:pPr>
      <w:r>
        <w:rPr>
          <w:rFonts w:hint="eastAsia"/>
          <w:color w:val="auto"/>
          <w:szCs w:val="21"/>
          <w:highlight w:val="none"/>
        </w:rPr>
        <w:t>传    真：                                                           传    真：</w:t>
      </w:r>
    </w:p>
    <w:p>
      <w:pPr>
        <w:spacing w:line="360" w:lineRule="auto"/>
        <w:ind w:left="5355" w:hanging="5355" w:hangingChars="2550"/>
        <w:rPr>
          <w:color w:val="auto"/>
          <w:spacing w:val="-6"/>
          <w:szCs w:val="21"/>
          <w:highlight w:val="none"/>
          <w:u w:val="single"/>
        </w:rPr>
      </w:pPr>
      <w:r>
        <w:rPr>
          <w:rFonts w:hint="eastAsia"/>
          <w:color w:val="auto"/>
          <w:szCs w:val="21"/>
          <w:highlight w:val="none"/>
        </w:rPr>
        <w:t>开户银行：                                                        开户银行：</w:t>
      </w:r>
    </w:p>
    <w:p>
      <w:pPr>
        <w:spacing w:line="360" w:lineRule="auto"/>
        <w:rPr>
          <w:color w:val="auto"/>
          <w:szCs w:val="21"/>
          <w:highlight w:val="none"/>
          <w:u w:val="single"/>
        </w:rPr>
      </w:pPr>
      <w:r>
        <w:rPr>
          <w:rFonts w:hint="eastAsia"/>
          <w:color w:val="auto"/>
          <w:szCs w:val="21"/>
          <w:highlight w:val="none"/>
        </w:rPr>
        <w:t>银行账号：                                                    银行账号：</w:t>
      </w:r>
    </w:p>
    <w:p>
      <w:pPr>
        <w:tabs>
          <w:tab w:val="left" w:pos="4680"/>
        </w:tabs>
        <w:spacing w:line="360" w:lineRule="auto"/>
        <w:rPr>
          <w:color w:val="auto"/>
          <w:szCs w:val="21"/>
          <w:highlight w:val="none"/>
        </w:rPr>
      </w:pPr>
      <w:r>
        <w:rPr>
          <w:rFonts w:hint="eastAsia"/>
          <w:color w:val="auto"/>
          <w:szCs w:val="21"/>
          <w:highlight w:val="none"/>
        </w:rPr>
        <w:t>丙方：</w:t>
      </w:r>
      <w:r>
        <w:rPr>
          <w:rFonts w:hint="eastAsia"/>
          <w:color w:val="auto"/>
          <w:szCs w:val="21"/>
          <w:highlight w:val="none"/>
          <w:u w:val="single"/>
        </w:rPr>
        <w:t>绍兴市妇幼保健院</w:t>
      </w:r>
    </w:p>
    <w:p>
      <w:pPr>
        <w:spacing w:line="360" w:lineRule="auto"/>
        <w:rPr>
          <w:color w:val="auto"/>
          <w:szCs w:val="21"/>
          <w:highlight w:val="none"/>
          <w:u w:val="single"/>
        </w:rPr>
      </w:pPr>
      <w:r>
        <w:rPr>
          <w:rFonts w:hint="eastAsia"/>
          <w:color w:val="auto"/>
          <w:szCs w:val="21"/>
          <w:highlight w:val="none"/>
          <w:u w:val="single"/>
        </w:rPr>
        <w:t xml:space="preserve">             （盖章）               </w:t>
      </w:r>
    </w:p>
    <w:p>
      <w:pPr>
        <w:tabs>
          <w:tab w:val="left" w:pos="4140"/>
        </w:tabs>
        <w:spacing w:line="360" w:lineRule="auto"/>
        <w:rPr>
          <w:color w:val="auto"/>
          <w:szCs w:val="21"/>
          <w:highlight w:val="none"/>
        </w:rPr>
      </w:pPr>
      <w:r>
        <w:rPr>
          <w:rFonts w:hint="eastAsia"/>
          <w:color w:val="auto"/>
          <w:szCs w:val="21"/>
          <w:highlight w:val="none"/>
        </w:rPr>
        <w:t xml:space="preserve">法定代表人或   </w:t>
      </w:r>
    </w:p>
    <w:p>
      <w:pPr>
        <w:tabs>
          <w:tab w:val="left" w:pos="4140"/>
        </w:tabs>
        <w:spacing w:line="360" w:lineRule="auto"/>
        <w:rPr>
          <w:color w:val="auto"/>
          <w:szCs w:val="21"/>
          <w:highlight w:val="none"/>
        </w:rPr>
      </w:pPr>
      <w:r>
        <w:rPr>
          <w:rFonts w:hint="eastAsia"/>
          <w:color w:val="auto"/>
          <w:szCs w:val="21"/>
          <w:highlight w:val="none"/>
        </w:rPr>
        <w:t>其委托代理人：</w:t>
      </w:r>
      <w:r>
        <w:rPr>
          <w:rFonts w:hint="eastAsia"/>
          <w:color w:val="auto"/>
          <w:szCs w:val="21"/>
          <w:highlight w:val="none"/>
          <w:u w:val="single"/>
        </w:rPr>
        <w:t xml:space="preserve">       （签字）       </w:t>
      </w:r>
    </w:p>
    <w:p>
      <w:pPr>
        <w:spacing w:line="360" w:lineRule="auto"/>
        <w:rPr>
          <w:color w:val="auto"/>
          <w:szCs w:val="21"/>
          <w:highlight w:val="none"/>
        </w:rPr>
      </w:pPr>
      <w:r>
        <w:rPr>
          <w:rFonts w:hint="eastAsia"/>
          <w:color w:val="auto"/>
          <w:szCs w:val="21"/>
          <w:highlight w:val="none"/>
        </w:rPr>
        <w:t>地址：</w:t>
      </w:r>
    </w:p>
    <w:p>
      <w:pPr>
        <w:spacing w:line="360" w:lineRule="auto"/>
        <w:rPr>
          <w:color w:val="auto"/>
          <w:szCs w:val="21"/>
          <w:highlight w:val="none"/>
        </w:rPr>
      </w:pPr>
      <w:r>
        <w:rPr>
          <w:rFonts w:hint="eastAsia"/>
          <w:color w:val="auto"/>
          <w:szCs w:val="21"/>
          <w:highlight w:val="none"/>
        </w:rPr>
        <w:t>邮政编码：</w:t>
      </w:r>
      <w:r>
        <w:rPr>
          <w:rFonts w:hint="eastAsia"/>
          <w:color w:val="auto"/>
          <w:szCs w:val="21"/>
          <w:highlight w:val="none"/>
          <w:u w:val="single"/>
        </w:rPr>
        <w:t xml:space="preserve"> 312000        </w:t>
      </w:r>
    </w:p>
    <w:p>
      <w:pPr>
        <w:tabs>
          <w:tab w:val="left" w:pos="4500"/>
          <w:tab w:val="left" w:pos="4680"/>
        </w:tabs>
        <w:spacing w:line="360" w:lineRule="auto"/>
        <w:rPr>
          <w:color w:val="auto"/>
          <w:szCs w:val="21"/>
          <w:highlight w:val="none"/>
        </w:rPr>
      </w:pPr>
      <w:r>
        <w:rPr>
          <w:rFonts w:hint="eastAsia"/>
          <w:color w:val="auto"/>
          <w:szCs w:val="21"/>
          <w:highlight w:val="none"/>
        </w:rPr>
        <w:t>传    真：0575-88269882</w:t>
      </w:r>
    </w:p>
    <w:p>
      <w:pPr>
        <w:tabs>
          <w:tab w:val="left" w:pos="4680"/>
        </w:tabs>
        <w:spacing w:line="360" w:lineRule="auto"/>
        <w:rPr>
          <w:color w:val="auto"/>
          <w:szCs w:val="21"/>
          <w:highlight w:val="none"/>
        </w:rPr>
      </w:pPr>
      <w:r>
        <w:rPr>
          <w:rFonts w:hint="eastAsia"/>
          <w:color w:val="auto"/>
          <w:szCs w:val="21"/>
          <w:highlight w:val="none"/>
        </w:rPr>
        <w:t>丁方：</w:t>
      </w:r>
      <w:r>
        <w:rPr>
          <w:rFonts w:hint="eastAsia"/>
          <w:color w:val="auto"/>
          <w:szCs w:val="21"/>
          <w:highlight w:val="none"/>
          <w:u w:val="single"/>
        </w:rPr>
        <w:t xml:space="preserve">绍兴市交通建设有限公司    </w:t>
      </w:r>
    </w:p>
    <w:p>
      <w:pPr>
        <w:spacing w:line="360" w:lineRule="auto"/>
        <w:rPr>
          <w:color w:val="auto"/>
          <w:szCs w:val="21"/>
          <w:highlight w:val="none"/>
          <w:u w:val="single"/>
        </w:rPr>
      </w:pPr>
      <w:r>
        <w:rPr>
          <w:rFonts w:hint="eastAsia"/>
          <w:color w:val="auto"/>
          <w:szCs w:val="21"/>
          <w:highlight w:val="none"/>
          <w:u w:val="single"/>
        </w:rPr>
        <w:t xml:space="preserve">             （盖章）               </w:t>
      </w:r>
    </w:p>
    <w:p>
      <w:pPr>
        <w:tabs>
          <w:tab w:val="left" w:pos="4140"/>
        </w:tabs>
        <w:spacing w:line="360" w:lineRule="auto"/>
        <w:rPr>
          <w:color w:val="auto"/>
          <w:szCs w:val="21"/>
          <w:highlight w:val="none"/>
        </w:rPr>
      </w:pPr>
      <w:r>
        <w:rPr>
          <w:rFonts w:hint="eastAsia"/>
          <w:color w:val="auto"/>
          <w:szCs w:val="21"/>
          <w:highlight w:val="none"/>
        </w:rPr>
        <w:t xml:space="preserve">法定代表人或   </w:t>
      </w:r>
    </w:p>
    <w:p>
      <w:pPr>
        <w:tabs>
          <w:tab w:val="left" w:pos="4140"/>
        </w:tabs>
        <w:spacing w:line="360" w:lineRule="auto"/>
        <w:rPr>
          <w:color w:val="auto"/>
          <w:szCs w:val="21"/>
          <w:highlight w:val="none"/>
        </w:rPr>
      </w:pPr>
      <w:r>
        <w:rPr>
          <w:rFonts w:hint="eastAsia"/>
          <w:color w:val="auto"/>
          <w:szCs w:val="21"/>
          <w:highlight w:val="none"/>
        </w:rPr>
        <w:t>其委托代理人：</w:t>
      </w:r>
      <w:r>
        <w:rPr>
          <w:rFonts w:hint="eastAsia"/>
          <w:color w:val="auto"/>
          <w:szCs w:val="21"/>
          <w:highlight w:val="none"/>
          <w:u w:val="single"/>
        </w:rPr>
        <w:t xml:space="preserve">       （签字）       </w:t>
      </w:r>
    </w:p>
    <w:p>
      <w:pPr>
        <w:spacing w:line="360" w:lineRule="auto"/>
        <w:rPr>
          <w:color w:val="auto"/>
          <w:szCs w:val="21"/>
          <w:highlight w:val="none"/>
        </w:rPr>
      </w:pPr>
      <w:r>
        <w:rPr>
          <w:rFonts w:hint="eastAsia"/>
          <w:color w:val="auto"/>
          <w:szCs w:val="21"/>
          <w:highlight w:val="none"/>
        </w:rPr>
        <w:t>地址：</w:t>
      </w:r>
    </w:p>
    <w:p>
      <w:pPr>
        <w:spacing w:line="360" w:lineRule="auto"/>
        <w:rPr>
          <w:color w:val="auto"/>
          <w:szCs w:val="21"/>
          <w:highlight w:val="none"/>
        </w:rPr>
      </w:pPr>
      <w:r>
        <w:rPr>
          <w:rFonts w:hint="eastAsia"/>
          <w:color w:val="auto"/>
          <w:szCs w:val="21"/>
          <w:highlight w:val="none"/>
        </w:rPr>
        <w:t>邮政编码：</w:t>
      </w:r>
      <w:r>
        <w:rPr>
          <w:rFonts w:hint="eastAsia"/>
          <w:color w:val="auto"/>
          <w:szCs w:val="21"/>
          <w:highlight w:val="none"/>
          <w:u w:val="single"/>
        </w:rPr>
        <w:t xml:space="preserve"> 312000        </w:t>
      </w:r>
    </w:p>
    <w:p>
      <w:pPr>
        <w:tabs>
          <w:tab w:val="left" w:pos="4500"/>
          <w:tab w:val="left" w:pos="4680"/>
        </w:tabs>
        <w:spacing w:line="360" w:lineRule="auto"/>
        <w:rPr>
          <w:color w:val="auto"/>
          <w:szCs w:val="21"/>
          <w:highlight w:val="none"/>
          <w:u w:val="single"/>
        </w:rPr>
      </w:pPr>
      <w:r>
        <w:rPr>
          <w:rFonts w:hint="eastAsia"/>
          <w:color w:val="auto"/>
          <w:szCs w:val="21"/>
          <w:highlight w:val="none"/>
        </w:rPr>
        <w:t>传    真：</w:t>
      </w:r>
    </w:p>
    <w:p>
      <w:pPr>
        <w:pStyle w:val="2"/>
        <w:ind w:firstLine="340"/>
        <w:rPr>
          <w:color w:val="auto"/>
          <w:highlight w:val="none"/>
        </w:rPr>
      </w:pPr>
    </w:p>
    <w:p>
      <w:pPr>
        <w:tabs>
          <w:tab w:val="left" w:pos="4500"/>
          <w:tab w:val="left" w:pos="4680"/>
        </w:tabs>
        <w:spacing w:line="360" w:lineRule="auto"/>
        <w:jc w:val="right"/>
        <w:rPr>
          <w:color w:val="auto"/>
          <w:szCs w:val="21"/>
          <w:highlight w:val="none"/>
        </w:rPr>
      </w:pPr>
      <w:r>
        <w:rPr>
          <w:rFonts w:hint="eastAsia"/>
          <w:color w:val="auto"/>
          <w:szCs w:val="21"/>
          <w:highlight w:val="none"/>
        </w:rPr>
        <w:t>签订日期：   年  月  日</w:t>
      </w:r>
    </w:p>
    <w:p>
      <w:pPr>
        <w:spacing w:line="360" w:lineRule="auto"/>
        <w:ind w:firstLine="210"/>
        <w:rPr>
          <w:color w:val="auto"/>
          <w:szCs w:val="21"/>
          <w:highlight w:val="none"/>
          <w:u w:val="single"/>
        </w:rPr>
      </w:pPr>
    </w:p>
    <w:p>
      <w:pPr>
        <w:pStyle w:val="2"/>
        <w:spacing w:line="360" w:lineRule="auto"/>
        <w:ind w:firstLine="210"/>
        <w:rPr>
          <w:color w:val="auto"/>
          <w:sz w:val="21"/>
          <w:szCs w:val="21"/>
          <w:highlight w:val="none"/>
          <w:u w:val="single"/>
        </w:rPr>
      </w:pPr>
    </w:p>
    <w:p>
      <w:pPr>
        <w:spacing w:line="360" w:lineRule="auto"/>
        <w:rPr>
          <w:color w:val="auto"/>
          <w:szCs w:val="21"/>
          <w:highlight w:val="none"/>
          <w:u w:val="single"/>
        </w:rPr>
      </w:pPr>
    </w:p>
    <w:p>
      <w:pPr>
        <w:pStyle w:val="2"/>
        <w:spacing w:line="360" w:lineRule="auto"/>
        <w:ind w:firstLine="210"/>
        <w:rPr>
          <w:color w:val="auto"/>
          <w:sz w:val="21"/>
          <w:szCs w:val="21"/>
          <w:highlight w:val="none"/>
          <w:u w:val="single"/>
        </w:rPr>
      </w:pPr>
      <w:r>
        <w:rPr>
          <w:rFonts w:hint="eastAsia"/>
          <w:color w:val="auto"/>
          <w:sz w:val="21"/>
          <w:szCs w:val="21"/>
          <w:highlight w:val="none"/>
          <w:u w:val="single"/>
        </w:rPr>
        <w:t xml:space="preserve"> </w:t>
      </w:r>
    </w:p>
    <w:p>
      <w:pPr>
        <w:spacing w:line="360" w:lineRule="auto"/>
        <w:rPr>
          <w:color w:val="auto"/>
          <w:szCs w:val="21"/>
          <w:highlight w:val="none"/>
          <w:u w:val="single"/>
        </w:rPr>
      </w:pPr>
    </w:p>
    <w:p>
      <w:pPr>
        <w:pStyle w:val="2"/>
        <w:spacing w:line="360" w:lineRule="auto"/>
        <w:ind w:firstLine="210"/>
        <w:rPr>
          <w:color w:val="auto"/>
          <w:sz w:val="21"/>
          <w:szCs w:val="21"/>
          <w:highlight w:val="none"/>
          <w:u w:val="single"/>
        </w:rPr>
      </w:pPr>
    </w:p>
    <w:p>
      <w:pPr>
        <w:spacing w:line="360" w:lineRule="auto"/>
        <w:rPr>
          <w:color w:val="auto"/>
          <w:szCs w:val="21"/>
          <w:highlight w:val="none"/>
          <w:u w:val="single"/>
        </w:rPr>
      </w:pPr>
    </w:p>
    <w:p>
      <w:pPr>
        <w:pStyle w:val="2"/>
        <w:spacing w:line="360" w:lineRule="auto"/>
        <w:ind w:firstLine="210"/>
        <w:rPr>
          <w:color w:val="auto"/>
          <w:sz w:val="21"/>
          <w:szCs w:val="21"/>
          <w:highlight w:val="none"/>
          <w:u w:val="single"/>
        </w:rPr>
      </w:pPr>
    </w:p>
    <w:p>
      <w:pPr>
        <w:rPr>
          <w:color w:val="auto"/>
          <w:szCs w:val="21"/>
          <w:highlight w:val="none"/>
          <w:u w:val="single"/>
        </w:rPr>
      </w:pPr>
    </w:p>
    <w:p>
      <w:pPr>
        <w:pStyle w:val="2"/>
        <w:ind w:firstLine="210"/>
        <w:rPr>
          <w:color w:val="auto"/>
          <w:sz w:val="21"/>
          <w:szCs w:val="21"/>
          <w:highlight w:val="none"/>
          <w:u w:val="single"/>
        </w:rPr>
      </w:pPr>
    </w:p>
    <w:p>
      <w:pPr>
        <w:rPr>
          <w:color w:val="auto"/>
          <w:szCs w:val="21"/>
          <w:highlight w:val="none"/>
          <w:u w:val="single"/>
        </w:rPr>
      </w:pPr>
    </w:p>
    <w:p>
      <w:pPr>
        <w:pStyle w:val="2"/>
        <w:ind w:firstLine="340"/>
        <w:rPr>
          <w:color w:val="auto"/>
          <w:highlight w:val="none"/>
        </w:rPr>
      </w:pPr>
    </w:p>
    <w:p>
      <w:pPr>
        <w:spacing w:line="360" w:lineRule="auto"/>
        <w:rPr>
          <w:color w:val="auto"/>
          <w:szCs w:val="21"/>
          <w:highlight w:val="none"/>
          <w:u w:val="single"/>
        </w:rPr>
      </w:pPr>
    </w:p>
    <w:p>
      <w:pPr>
        <w:spacing w:line="240" w:lineRule="auto"/>
        <w:jc w:val="left"/>
        <w:rPr>
          <w:rFonts w:hint="eastAsia"/>
          <w:b/>
          <w:color w:val="auto"/>
          <w:szCs w:val="21"/>
          <w:highlight w:val="none"/>
        </w:rPr>
      </w:pPr>
      <w:bookmarkStart w:id="427" w:name="_Toc406074421"/>
      <w:bookmarkStart w:id="428" w:name="_Toc297017782"/>
      <w:r>
        <w:rPr>
          <w:rFonts w:hint="eastAsia"/>
          <w:b/>
          <w:color w:val="auto"/>
          <w:szCs w:val="21"/>
          <w:highlight w:val="none"/>
        </w:rPr>
        <w:br w:type="page"/>
      </w:r>
    </w:p>
    <w:p>
      <w:pPr>
        <w:spacing w:line="360" w:lineRule="auto"/>
        <w:jc w:val="center"/>
        <w:rPr>
          <w:b/>
          <w:color w:val="auto"/>
          <w:szCs w:val="21"/>
          <w:highlight w:val="none"/>
        </w:rPr>
      </w:pPr>
      <w:r>
        <w:rPr>
          <w:rFonts w:hint="eastAsia"/>
          <w:b/>
          <w:color w:val="auto"/>
          <w:szCs w:val="21"/>
          <w:highlight w:val="none"/>
        </w:rPr>
        <w:t>二、合同一般条款</w:t>
      </w:r>
      <w:bookmarkEnd w:id="427"/>
      <w:bookmarkEnd w:id="428"/>
    </w:p>
    <w:p>
      <w:pPr>
        <w:spacing w:line="360" w:lineRule="auto"/>
        <w:rPr>
          <w:b/>
          <w:color w:val="auto"/>
          <w:szCs w:val="21"/>
          <w:highlight w:val="none"/>
        </w:rPr>
      </w:pPr>
    </w:p>
    <w:p>
      <w:pPr>
        <w:spacing w:line="360" w:lineRule="auto"/>
        <w:ind w:firstLine="420" w:firstLineChars="200"/>
        <w:outlineLvl w:val="0"/>
        <w:rPr>
          <w:color w:val="auto"/>
          <w:szCs w:val="21"/>
          <w:highlight w:val="none"/>
        </w:rPr>
      </w:pPr>
      <w:r>
        <w:rPr>
          <w:rFonts w:hint="eastAsia"/>
          <w:color w:val="auto"/>
          <w:szCs w:val="21"/>
          <w:highlight w:val="none"/>
        </w:rPr>
        <w:t>1、合同产品的名称、技术规范和数量应与中标通知书、招标文件及被甲方及丙方接受的规格性能偏离表相一致。</w:t>
      </w:r>
    </w:p>
    <w:p>
      <w:pPr>
        <w:spacing w:line="360" w:lineRule="auto"/>
        <w:ind w:firstLine="420" w:firstLineChars="200"/>
        <w:outlineLvl w:val="0"/>
        <w:rPr>
          <w:color w:val="auto"/>
          <w:szCs w:val="21"/>
          <w:highlight w:val="none"/>
        </w:rPr>
      </w:pPr>
      <w:bookmarkStart w:id="429" w:name="_Toc28660"/>
      <w:r>
        <w:rPr>
          <w:rFonts w:hint="eastAsia"/>
          <w:color w:val="auto"/>
          <w:szCs w:val="21"/>
          <w:highlight w:val="none"/>
        </w:rPr>
        <w:t>2、产品的质量、技术标准</w:t>
      </w:r>
      <w:bookmarkEnd w:id="429"/>
    </w:p>
    <w:p>
      <w:pPr>
        <w:spacing w:line="360" w:lineRule="auto"/>
        <w:ind w:firstLine="420" w:firstLineChars="200"/>
        <w:rPr>
          <w:color w:val="auto"/>
          <w:szCs w:val="21"/>
          <w:highlight w:val="none"/>
        </w:rPr>
      </w:pPr>
      <w:r>
        <w:rPr>
          <w:rFonts w:hint="eastAsia"/>
          <w:color w:val="auto"/>
          <w:szCs w:val="21"/>
          <w:highlight w:val="none"/>
        </w:rPr>
        <w:t>合同产品的质量、技术标准如在招投标文件中无相应说明，则按国家有关部门颁布的最新的国家或专业（部）标准执行及相应的国际标准执行。</w:t>
      </w:r>
    </w:p>
    <w:p>
      <w:pPr>
        <w:spacing w:line="360" w:lineRule="auto"/>
        <w:ind w:firstLine="420" w:firstLineChars="200"/>
        <w:outlineLvl w:val="0"/>
        <w:rPr>
          <w:color w:val="auto"/>
          <w:szCs w:val="21"/>
          <w:highlight w:val="none"/>
        </w:rPr>
      </w:pPr>
      <w:r>
        <w:rPr>
          <w:rFonts w:hint="eastAsia"/>
          <w:color w:val="auto"/>
          <w:szCs w:val="21"/>
          <w:highlight w:val="none"/>
        </w:rPr>
        <w:t>3、质量保证</w:t>
      </w:r>
    </w:p>
    <w:p>
      <w:pPr>
        <w:spacing w:line="360" w:lineRule="auto"/>
        <w:ind w:firstLine="420" w:firstLineChars="200"/>
        <w:rPr>
          <w:color w:val="auto"/>
          <w:szCs w:val="21"/>
          <w:highlight w:val="none"/>
        </w:rPr>
      </w:pPr>
      <w:r>
        <w:rPr>
          <w:rFonts w:hint="eastAsia"/>
          <w:color w:val="auto"/>
          <w:szCs w:val="21"/>
          <w:highlight w:val="none"/>
        </w:rPr>
        <w:t>3.1乙方保证所提供的设备是全新的、未使用过的。</w:t>
      </w:r>
    </w:p>
    <w:p>
      <w:pPr>
        <w:spacing w:line="360" w:lineRule="auto"/>
        <w:ind w:firstLine="420" w:firstLineChars="200"/>
        <w:rPr>
          <w:color w:val="auto"/>
          <w:szCs w:val="21"/>
          <w:highlight w:val="none"/>
        </w:rPr>
      </w:pPr>
      <w:r>
        <w:rPr>
          <w:rFonts w:hint="eastAsia"/>
          <w:color w:val="auto"/>
          <w:szCs w:val="21"/>
          <w:highlight w:val="none"/>
        </w:rPr>
        <w:t>3.2乙方保证采用先进的技术、优质的材料和零部件、一流的工艺、严格的质量管理为甲方及丙方提供技术先进、质量上乘、外表美观并完全符合合同规定的质量、规格、性能要求的产品。</w:t>
      </w:r>
    </w:p>
    <w:p>
      <w:pPr>
        <w:spacing w:line="360" w:lineRule="auto"/>
        <w:ind w:firstLine="420" w:firstLineChars="200"/>
        <w:rPr>
          <w:color w:val="auto"/>
          <w:szCs w:val="21"/>
          <w:highlight w:val="none"/>
        </w:rPr>
      </w:pPr>
      <w:r>
        <w:rPr>
          <w:rFonts w:hint="eastAsia"/>
          <w:color w:val="auto"/>
          <w:szCs w:val="21"/>
          <w:highlight w:val="none"/>
        </w:rPr>
        <w:t>3.3乙方保证按ISO9000系列标准或相应的质量管理和质量保证体系，对所供设备的设计、采购、制造、检验、涂装、包装、安装、调试等各个环节进行严格的质量管理和质量控制。</w:t>
      </w:r>
    </w:p>
    <w:p>
      <w:pPr>
        <w:spacing w:line="360" w:lineRule="auto"/>
        <w:ind w:firstLine="420" w:firstLineChars="200"/>
        <w:rPr>
          <w:color w:val="auto"/>
          <w:szCs w:val="21"/>
          <w:highlight w:val="none"/>
        </w:rPr>
      </w:pPr>
      <w:r>
        <w:rPr>
          <w:rFonts w:hint="eastAsia"/>
          <w:color w:val="auto"/>
          <w:szCs w:val="21"/>
          <w:highlight w:val="none"/>
        </w:rPr>
        <w:t>3.4乙方保证所提供的设备在正确安装、正常使用和维护保养的情况下，具有使甲方及丙方满意的使用性能和使用寿命。</w:t>
      </w:r>
    </w:p>
    <w:p>
      <w:pPr>
        <w:spacing w:line="360" w:lineRule="auto"/>
        <w:ind w:firstLine="420" w:firstLineChars="200"/>
        <w:outlineLvl w:val="0"/>
        <w:rPr>
          <w:color w:val="auto"/>
          <w:szCs w:val="21"/>
          <w:highlight w:val="none"/>
        </w:rPr>
      </w:pPr>
      <w:bookmarkStart w:id="430" w:name="_Toc23533"/>
      <w:r>
        <w:rPr>
          <w:rFonts w:hint="eastAsia"/>
          <w:color w:val="auto"/>
          <w:szCs w:val="21"/>
          <w:highlight w:val="none"/>
        </w:rPr>
        <w:t>4、质量保证期</w:t>
      </w:r>
      <w:bookmarkEnd w:id="430"/>
    </w:p>
    <w:p>
      <w:pPr>
        <w:spacing w:line="360" w:lineRule="auto"/>
        <w:ind w:firstLine="420" w:firstLineChars="200"/>
        <w:rPr>
          <w:color w:val="auto"/>
          <w:szCs w:val="21"/>
          <w:highlight w:val="none"/>
        </w:rPr>
      </w:pPr>
      <w:r>
        <w:rPr>
          <w:rFonts w:hint="eastAsia"/>
          <w:color w:val="auto"/>
          <w:szCs w:val="21"/>
          <w:highlight w:val="none"/>
        </w:rPr>
        <w:t xml:space="preserve">产品的质量保证期为使用人使用产品之日起至少 </w:t>
      </w:r>
      <w:r>
        <w:rPr>
          <w:rFonts w:hint="eastAsia"/>
          <w:color w:val="auto"/>
          <w:szCs w:val="21"/>
          <w:highlight w:val="none"/>
          <w:u w:val="single"/>
        </w:rPr>
        <w:t xml:space="preserve">36 </w:t>
      </w:r>
      <w:r>
        <w:rPr>
          <w:rFonts w:hint="eastAsia"/>
          <w:bCs/>
          <w:color w:val="auto"/>
          <w:szCs w:val="21"/>
          <w:highlight w:val="none"/>
        </w:rPr>
        <w:t>个月</w:t>
      </w:r>
      <w:r>
        <w:rPr>
          <w:rFonts w:hint="eastAsia"/>
          <w:color w:val="auto"/>
          <w:szCs w:val="21"/>
          <w:highlight w:val="none"/>
        </w:rPr>
        <w:t>。在产品质量保证期之内，乙方对由于产品设计、工艺、材料、配套件的缺陷而造成的任何产品质量问题或故障，均承担免费提供同类产品的责任。</w:t>
      </w:r>
    </w:p>
    <w:p>
      <w:pPr>
        <w:spacing w:line="360" w:lineRule="auto"/>
        <w:ind w:firstLine="210"/>
        <w:outlineLvl w:val="0"/>
        <w:rPr>
          <w:color w:val="auto"/>
          <w:szCs w:val="21"/>
          <w:highlight w:val="none"/>
        </w:rPr>
      </w:pPr>
      <w:bookmarkStart w:id="431" w:name="_Toc4104"/>
      <w:r>
        <w:rPr>
          <w:rFonts w:hint="eastAsia"/>
          <w:color w:val="auto"/>
          <w:szCs w:val="21"/>
          <w:highlight w:val="none"/>
        </w:rPr>
        <w:t>5、合同修改</w:t>
      </w:r>
      <w:bookmarkEnd w:id="431"/>
    </w:p>
    <w:p>
      <w:pPr>
        <w:spacing w:line="360" w:lineRule="auto"/>
        <w:ind w:firstLine="420" w:firstLineChars="200"/>
        <w:rPr>
          <w:color w:val="auto"/>
          <w:szCs w:val="21"/>
          <w:highlight w:val="none"/>
        </w:rPr>
      </w:pPr>
      <w:r>
        <w:rPr>
          <w:rFonts w:hint="eastAsia"/>
          <w:color w:val="auto"/>
          <w:szCs w:val="21"/>
          <w:highlight w:val="none"/>
        </w:rPr>
        <w:t>5.1甲乙丙丁的任何一方对合同内容提出修改，均应以书面形式通知其他方，并达成由四方签署的合同修改书。</w:t>
      </w:r>
    </w:p>
    <w:p>
      <w:pPr>
        <w:spacing w:line="360" w:lineRule="auto"/>
        <w:ind w:firstLine="420" w:firstLineChars="200"/>
        <w:rPr>
          <w:color w:val="auto"/>
          <w:szCs w:val="21"/>
          <w:highlight w:val="none"/>
        </w:rPr>
      </w:pPr>
      <w:r>
        <w:rPr>
          <w:rFonts w:hint="eastAsia"/>
          <w:color w:val="auto"/>
          <w:szCs w:val="21"/>
          <w:highlight w:val="none"/>
        </w:rPr>
        <w:t>5.2除非甲方及丙方对设备的型号、规格和涉及价格因素的技术参数和配套件提出修改，乙方不得对合同价格提出修改要求。</w:t>
      </w:r>
    </w:p>
    <w:p>
      <w:pPr>
        <w:spacing w:line="360" w:lineRule="auto"/>
        <w:ind w:firstLine="315" w:firstLineChars="150"/>
        <w:outlineLvl w:val="0"/>
        <w:rPr>
          <w:color w:val="auto"/>
          <w:szCs w:val="21"/>
          <w:highlight w:val="none"/>
        </w:rPr>
      </w:pPr>
      <w:bookmarkStart w:id="432" w:name="_Toc21842"/>
      <w:r>
        <w:rPr>
          <w:rFonts w:hint="eastAsia"/>
          <w:color w:val="auto"/>
          <w:szCs w:val="21"/>
          <w:highlight w:val="none"/>
        </w:rPr>
        <w:t>6、违约责任</w:t>
      </w:r>
      <w:bookmarkEnd w:id="432"/>
    </w:p>
    <w:p>
      <w:pPr>
        <w:spacing w:line="360" w:lineRule="auto"/>
        <w:ind w:firstLine="210"/>
        <w:rPr>
          <w:color w:val="auto"/>
          <w:szCs w:val="21"/>
          <w:highlight w:val="none"/>
        </w:rPr>
      </w:pPr>
      <w:r>
        <w:rPr>
          <w:rFonts w:hint="eastAsia"/>
          <w:color w:val="auto"/>
          <w:szCs w:val="21"/>
          <w:highlight w:val="none"/>
        </w:rPr>
        <w:t xml:space="preserve">    6.1产品质量责任</w:t>
      </w:r>
    </w:p>
    <w:p>
      <w:pPr>
        <w:spacing w:line="360" w:lineRule="auto"/>
        <w:ind w:firstLine="420" w:firstLineChars="200"/>
        <w:rPr>
          <w:color w:val="auto"/>
          <w:szCs w:val="21"/>
          <w:highlight w:val="none"/>
        </w:rPr>
      </w:pPr>
      <w:r>
        <w:rPr>
          <w:rFonts w:hint="eastAsia"/>
          <w:color w:val="auto"/>
          <w:szCs w:val="21"/>
          <w:highlight w:val="none"/>
        </w:rPr>
        <w:t>1）在产品质量保证期内，凡设备在开箱检验、安装调试、设备试运转过程中发现的设备质量问题，由乙方负责处理，实行包换、包退，直至产品符合质量要求并承担相应的违约责任，或在甲方及丙、丁方同意的前提下，降价处理。乙方承担调换、退货发生的一切费用和丙方的</w:t>
      </w:r>
      <w:r>
        <w:rPr>
          <w:rFonts w:hint="eastAsia" w:ascii="宋体" w:hAnsi="宋体" w:cs="宋体"/>
          <w:color w:val="auto"/>
          <w:szCs w:val="21"/>
          <w:highlight w:val="none"/>
        </w:rPr>
        <w:t>全部</w:t>
      </w:r>
      <w:r>
        <w:rPr>
          <w:rFonts w:hint="eastAsia"/>
          <w:color w:val="auto"/>
          <w:szCs w:val="21"/>
          <w:highlight w:val="none"/>
        </w:rPr>
        <w:t>经济损失。</w:t>
      </w:r>
    </w:p>
    <w:p>
      <w:pPr>
        <w:spacing w:line="360" w:lineRule="auto"/>
        <w:ind w:firstLine="420" w:firstLineChars="200"/>
        <w:rPr>
          <w:color w:val="auto"/>
          <w:szCs w:val="21"/>
          <w:highlight w:val="none"/>
        </w:rPr>
      </w:pPr>
      <w:r>
        <w:rPr>
          <w:rFonts w:hint="eastAsia"/>
          <w:color w:val="auto"/>
          <w:szCs w:val="21"/>
          <w:highlight w:val="none"/>
        </w:rPr>
        <w:t>2）乙方在接到甲方及</w:t>
      </w:r>
      <w:r>
        <w:rPr>
          <w:rFonts w:hint="eastAsia" w:ascii="宋体" w:hAnsi="宋体" w:cs="宋体"/>
          <w:color w:val="auto"/>
          <w:szCs w:val="21"/>
          <w:highlight w:val="none"/>
        </w:rPr>
        <w:t>/或</w:t>
      </w:r>
      <w:r>
        <w:rPr>
          <w:rFonts w:hint="eastAsia"/>
          <w:color w:val="auto"/>
          <w:szCs w:val="21"/>
          <w:highlight w:val="none"/>
        </w:rPr>
        <w:t>丙方通知后，2小时内派人赴现场处理设备质量问题。质保期内乙方须安排专业维保人员驻场，驻场人员数量及资质须满足甲方及丙、丁方需求并获得书面审批。</w:t>
      </w:r>
    </w:p>
    <w:p>
      <w:pPr>
        <w:spacing w:line="360" w:lineRule="auto"/>
        <w:ind w:firstLine="210"/>
        <w:rPr>
          <w:color w:val="auto"/>
          <w:szCs w:val="21"/>
          <w:highlight w:val="none"/>
        </w:rPr>
      </w:pPr>
      <w:r>
        <w:rPr>
          <w:rFonts w:hint="eastAsia"/>
          <w:color w:val="auto"/>
          <w:szCs w:val="21"/>
          <w:highlight w:val="none"/>
        </w:rPr>
        <w:t xml:space="preserve">  3）在产品质量保证期内，由于甲方及</w:t>
      </w:r>
      <w:r>
        <w:rPr>
          <w:rFonts w:hint="eastAsia" w:ascii="宋体" w:hAnsi="宋体" w:cs="宋体"/>
          <w:color w:val="auto"/>
          <w:szCs w:val="21"/>
          <w:highlight w:val="none"/>
        </w:rPr>
        <w:t>/或</w:t>
      </w:r>
      <w:r>
        <w:rPr>
          <w:rFonts w:hint="eastAsia"/>
          <w:color w:val="auto"/>
          <w:szCs w:val="21"/>
          <w:highlight w:val="none"/>
        </w:rPr>
        <w:t>丙方保管不善或使用不当造成设备短缺、故障或损坏，由甲方及</w:t>
      </w:r>
      <w:r>
        <w:rPr>
          <w:rFonts w:hint="eastAsia" w:ascii="宋体" w:hAnsi="宋体" w:cs="宋体"/>
          <w:color w:val="auto"/>
          <w:szCs w:val="21"/>
          <w:highlight w:val="none"/>
        </w:rPr>
        <w:t>/或</w:t>
      </w:r>
      <w:r>
        <w:rPr>
          <w:rFonts w:hint="eastAsia"/>
          <w:color w:val="auto"/>
          <w:szCs w:val="21"/>
          <w:highlight w:val="none"/>
        </w:rPr>
        <w:t xml:space="preserve">丙方负责。但乙方保证及时给予补齐或修复。   </w:t>
      </w:r>
    </w:p>
    <w:p>
      <w:pPr>
        <w:spacing w:line="360" w:lineRule="auto"/>
        <w:ind w:firstLine="210"/>
        <w:rPr>
          <w:color w:val="auto"/>
          <w:szCs w:val="21"/>
          <w:highlight w:val="none"/>
        </w:rPr>
      </w:pPr>
      <w:r>
        <w:rPr>
          <w:rFonts w:hint="eastAsia"/>
          <w:color w:val="auto"/>
          <w:szCs w:val="21"/>
          <w:highlight w:val="none"/>
        </w:rPr>
        <w:t xml:space="preserve">  6.2违约赔偿      </w:t>
      </w:r>
    </w:p>
    <w:p>
      <w:pPr>
        <w:spacing w:line="360" w:lineRule="auto"/>
        <w:ind w:firstLine="392" w:firstLineChars="187"/>
        <w:rPr>
          <w:color w:val="auto"/>
          <w:szCs w:val="21"/>
          <w:highlight w:val="none"/>
        </w:rPr>
      </w:pPr>
      <w:r>
        <w:rPr>
          <w:rFonts w:hint="eastAsia"/>
          <w:color w:val="auto"/>
          <w:szCs w:val="21"/>
          <w:highlight w:val="none"/>
        </w:rPr>
        <w:t>除不可抗拒力外，如乙方发生不能按期交货或提供服务；甲方及丙方发生中途退货等情况，应及时以书面形式通知对方，并按照合同专用条款承担违约或赔偿责任。</w:t>
      </w:r>
    </w:p>
    <w:p>
      <w:pPr>
        <w:spacing w:line="360" w:lineRule="auto"/>
        <w:ind w:firstLine="315" w:firstLineChars="150"/>
        <w:outlineLvl w:val="0"/>
        <w:rPr>
          <w:color w:val="auto"/>
          <w:szCs w:val="21"/>
          <w:highlight w:val="none"/>
        </w:rPr>
      </w:pPr>
      <w:r>
        <w:rPr>
          <w:rFonts w:hint="eastAsia"/>
          <w:color w:val="auto"/>
          <w:szCs w:val="21"/>
          <w:highlight w:val="none"/>
        </w:rPr>
        <w:t xml:space="preserve">7、争议处理    </w:t>
      </w:r>
    </w:p>
    <w:p>
      <w:pPr>
        <w:spacing w:line="360" w:lineRule="auto"/>
        <w:ind w:firstLine="210"/>
        <w:rPr>
          <w:color w:val="auto"/>
          <w:szCs w:val="21"/>
          <w:highlight w:val="none"/>
        </w:rPr>
      </w:pPr>
      <w:r>
        <w:rPr>
          <w:rFonts w:hint="eastAsia"/>
          <w:color w:val="auto"/>
          <w:szCs w:val="21"/>
          <w:highlight w:val="none"/>
        </w:rPr>
        <w:t xml:space="preserve">  7.1凡有关本合同或执行本合同中发生的争端，甲方及丙方应通过友好协商，妥善解决。如通过协商仍不能解决时，可向项目所在地人民法院申请调解或处理。</w:t>
      </w:r>
    </w:p>
    <w:p>
      <w:pPr>
        <w:spacing w:line="360" w:lineRule="auto"/>
        <w:ind w:firstLine="210"/>
        <w:rPr>
          <w:color w:val="auto"/>
          <w:szCs w:val="21"/>
          <w:highlight w:val="none"/>
        </w:rPr>
      </w:pPr>
      <w:r>
        <w:rPr>
          <w:rFonts w:hint="eastAsia"/>
          <w:color w:val="auto"/>
          <w:szCs w:val="21"/>
          <w:highlight w:val="none"/>
        </w:rPr>
        <w:t xml:space="preserve">  7.2争议费用除裁决机构另有裁决外，由败诉方承担。</w:t>
      </w:r>
    </w:p>
    <w:p>
      <w:pPr>
        <w:spacing w:line="360" w:lineRule="auto"/>
        <w:ind w:firstLine="210"/>
        <w:rPr>
          <w:color w:val="auto"/>
          <w:szCs w:val="21"/>
          <w:highlight w:val="none"/>
        </w:rPr>
      </w:pPr>
      <w:r>
        <w:rPr>
          <w:rFonts w:hint="eastAsia"/>
          <w:color w:val="auto"/>
          <w:szCs w:val="21"/>
          <w:highlight w:val="none"/>
        </w:rPr>
        <w:t xml:space="preserve">  7.3在裁决期间，除争议部分外，本合同其他部分应继续执行。</w:t>
      </w:r>
    </w:p>
    <w:p>
      <w:pPr>
        <w:spacing w:line="360" w:lineRule="auto"/>
        <w:ind w:firstLine="315" w:firstLineChars="150"/>
        <w:outlineLvl w:val="0"/>
        <w:rPr>
          <w:color w:val="auto"/>
          <w:szCs w:val="21"/>
          <w:highlight w:val="none"/>
        </w:rPr>
      </w:pPr>
      <w:r>
        <w:rPr>
          <w:rFonts w:hint="eastAsia"/>
          <w:color w:val="auto"/>
          <w:szCs w:val="21"/>
          <w:highlight w:val="none"/>
        </w:rPr>
        <w:t>8、合同生效及其他</w:t>
      </w:r>
    </w:p>
    <w:p>
      <w:pPr>
        <w:spacing w:line="360" w:lineRule="auto"/>
        <w:ind w:firstLine="210"/>
        <w:rPr>
          <w:color w:val="auto"/>
          <w:szCs w:val="21"/>
          <w:highlight w:val="none"/>
        </w:rPr>
      </w:pPr>
      <w:r>
        <w:rPr>
          <w:rFonts w:hint="eastAsia"/>
          <w:color w:val="auto"/>
          <w:szCs w:val="21"/>
          <w:highlight w:val="none"/>
        </w:rPr>
        <w:t xml:space="preserve">  8.1合同应在各方签字盖章后开始生效。</w:t>
      </w:r>
    </w:p>
    <w:p>
      <w:pPr>
        <w:spacing w:line="360" w:lineRule="auto"/>
        <w:ind w:firstLine="420" w:firstLineChars="200"/>
        <w:rPr>
          <w:color w:val="auto"/>
          <w:szCs w:val="21"/>
          <w:highlight w:val="none"/>
        </w:rPr>
      </w:pPr>
      <w:r>
        <w:rPr>
          <w:rFonts w:hint="eastAsia"/>
          <w:color w:val="auto"/>
          <w:szCs w:val="21"/>
          <w:highlight w:val="none"/>
        </w:rPr>
        <w:t>8.2本合同一式</w:t>
      </w:r>
      <w:r>
        <w:rPr>
          <w:color w:val="auto"/>
          <w:szCs w:val="21"/>
          <w:highlight w:val="none"/>
        </w:rPr>
        <w:t>16</w:t>
      </w:r>
      <w:r>
        <w:rPr>
          <w:rFonts w:hint="eastAsia"/>
          <w:color w:val="auto"/>
          <w:szCs w:val="21"/>
          <w:highlight w:val="none"/>
        </w:rPr>
        <w:t>份，正本</w:t>
      </w:r>
      <w:r>
        <w:rPr>
          <w:color w:val="auto"/>
          <w:szCs w:val="21"/>
          <w:highlight w:val="none"/>
        </w:rPr>
        <w:t>4</w:t>
      </w:r>
      <w:r>
        <w:rPr>
          <w:rFonts w:hint="eastAsia"/>
          <w:color w:val="auto"/>
          <w:szCs w:val="21"/>
          <w:highlight w:val="none"/>
        </w:rPr>
        <w:t>份（甲、乙、丙、丁方各1份），副本</w:t>
      </w:r>
      <w:r>
        <w:rPr>
          <w:color w:val="auto"/>
          <w:szCs w:val="21"/>
          <w:highlight w:val="none"/>
        </w:rPr>
        <w:t>12</w:t>
      </w:r>
      <w:r>
        <w:rPr>
          <w:rFonts w:hint="eastAsia"/>
          <w:color w:val="auto"/>
          <w:szCs w:val="21"/>
          <w:highlight w:val="none"/>
        </w:rPr>
        <w:t>份（甲、乙、丙、丁方各3份），同等生效。</w:t>
      </w:r>
    </w:p>
    <w:p>
      <w:pPr>
        <w:keepNext/>
        <w:keepLines/>
        <w:spacing w:before="360" w:beforeLines="150" w:after="120" w:afterLines="50" w:line="360" w:lineRule="auto"/>
        <w:jc w:val="center"/>
        <w:outlineLvl w:val="1"/>
        <w:rPr>
          <w:b/>
          <w:bCs/>
          <w:color w:val="auto"/>
          <w:szCs w:val="21"/>
          <w:highlight w:val="none"/>
        </w:rPr>
      </w:pPr>
      <w:r>
        <w:rPr>
          <w:rFonts w:hint="eastAsia"/>
          <w:b/>
          <w:bCs/>
          <w:color w:val="auto"/>
          <w:szCs w:val="21"/>
          <w:highlight w:val="none"/>
        </w:rPr>
        <w:br w:type="page"/>
      </w:r>
      <w:bookmarkStart w:id="433" w:name="_Toc17297"/>
      <w:bookmarkStart w:id="434" w:name="_Toc297017783"/>
      <w:bookmarkStart w:id="435" w:name="_Toc406074422"/>
      <w:r>
        <w:rPr>
          <w:rFonts w:hint="eastAsia"/>
          <w:b/>
          <w:bCs/>
          <w:color w:val="auto"/>
          <w:szCs w:val="21"/>
          <w:highlight w:val="none"/>
        </w:rPr>
        <w:t>三、合同专用条款</w:t>
      </w:r>
      <w:bookmarkEnd w:id="433"/>
      <w:bookmarkEnd w:id="434"/>
      <w:bookmarkEnd w:id="435"/>
    </w:p>
    <w:p>
      <w:pPr>
        <w:snapToGrid w:val="0"/>
        <w:spacing w:line="360" w:lineRule="auto"/>
        <w:ind w:firstLine="210"/>
        <w:rPr>
          <w:color w:val="auto"/>
          <w:szCs w:val="21"/>
          <w:highlight w:val="none"/>
        </w:rPr>
      </w:pPr>
      <w:r>
        <w:rPr>
          <w:rFonts w:hint="eastAsia"/>
          <w:color w:val="auto"/>
          <w:szCs w:val="21"/>
          <w:highlight w:val="none"/>
        </w:rPr>
        <w:t xml:space="preserve">   本合同专用条款是对合同一般条款的补充，两者之间如有抵触，以本专用条款为准。</w:t>
      </w:r>
    </w:p>
    <w:p>
      <w:pPr>
        <w:tabs>
          <w:tab w:val="left" w:pos="732"/>
        </w:tabs>
        <w:spacing w:line="360" w:lineRule="auto"/>
        <w:ind w:left="210" w:leftChars="100"/>
        <w:rPr>
          <w:color w:val="auto"/>
          <w:szCs w:val="21"/>
          <w:highlight w:val="none"/>
        </w:rPr>
      </w:pPr>
      <w:r>
        <w:rPr>
          <w:rFonts w:hint="eastAsia"/>
          <w:color w:val="auto"/>
          <w:szCs w:val="21"/>
          <w:highlight w:val="none"/>
        </w:rPr>
        <w:t xml:space="preserve">   1、合同交货期    </w:t>
      </w:r>
    </w:p>
    <w:p>
      <w:pPr>
        <w:snapToGrid w:val="0"/>
        <w:spacing w:line="360" w:lineRule="auto"/>
        <w:ind w:firstLine="630" w:firstLineChars="300"/>
        <w:rPr>
          <w:color w:val="auto"/>
          <w:szCs w:val="21"/>
          <w:highlight w:val="none"/>
        </w:rPr>
      </w:pPr>
      <w:r>
        <w:rPr>
          <w:rFonts w:hint="eastAsia"/>
          <w:color w:val="auto"/>
          <w:szCs w:val="21"/>
          <w:highlight w:val="none"/>
        </w:rPr>
        <w:t xml:space="preserve">总工期为 </w:t>
      </w:r>
      <w:r>
        <w:rPr>
          <w:rFonts w:hint="eastAsia"/>
          <w:color w:val="auto"/>
          <w:szCs w:val="21"/>
          <w:highlight w:val="none"/>
          <w:u w:val="single"/>
        </w:rPr>
        <w:t xml:space="preserve">180 </w:t>
      </w:r>
      <w:r>
        <w:rPr>
          <w:rFonts w:hint="eastAsia"/>
          <w:color w:val="auto"/>
          <w:szCs w:val="21"/>
          <w:highlight w:val="none"/>
        </w:rPr>
        <w:t xml:space="preserve"> 天。其中深化设计</w:t>
      </w:r>
      <w:r>
        <w:rPr>
          <w:rFonts w:hint="eastAsia"/>
          <w:color w:val="auto"/>
          <w:szCs w:val="21"/>
          <w:highlight w:val="none"/>
          <w:u w:val="single"/>
        </w:rPr>
        <w:t xml:space="preserve">     </w:t>
      </w:r>
      <w:r>
        <w:rPr>
          <w:rFonts w:hint="eastAsia"/>
          <w:color w:val="auto"/>
          <w:szCs w:val="21"/>
          <w:highlight w:val="none"/>
        </w:rPr>
        <w:t>天（深化</w:t>
      </w:r>
      <w:r>
        <w:rPr>
          <w:rFonts w:hint="eastAsia" w:ascii="宋体" w:hAnsi="宋体" w:cs="宋体"/>
          <w:color w:val="auto"/>
          <w:szCs w:val="21"/>
          <w:highlight w:val="none"/>
        </w:rPr>
        <w:t>/</w:t>
      </w:r>
      <w:r>
        <w:rPr>
          <w:rFonts w:ascii="宋体" w:hAnsi="宋体" w:cs="宋体"/>
          <w:color w:val="auto"/>
          <w:szCs w:val="21"/>
          <w:highlight w:val="none"/>
        </w:rPr>
        <w:t>或</w:t>
      </w:r>
      <w:r>
        <w:rPr>
          <w:rFonts w:hint="eastAsia"/>
          <w:color w:val="auto"/>
          <w:szCs w:val="21"/>
          <w:highlight w:val="none"/>
        </w:rPr>
        <w:t xml:space="preserve">设计图纸须经主体设计单位及监理、甲方及丙方、丁方书面审批通过后实施），制造、采购工期 </w:t>
      </w:r>
      <w:r>
        <w:rPr>
          <w:rFonts w:hint="eastAsia"/>
          <w:color w:val="auto"/>
          <w:szCs w:val="21"/>
          <w:highlight w:val="none"/>
          <w:u w:val="single"/>
        </w:rPr>
        <w:t xml:space="preserve">    </w:t>
      </w:r>
      <w:r>
        <w:rPr>
          <w:rFonts w:hint="eastAsia"/>
          <w:color w:val="auto"/>
          <w:szCs w:val="21"/>
          <w:highlight w:val="none"/>
        </w:rPr>
        <w:t>天，现场安装、调试、交验</w:t>
      </w:r>
      <w:r>
        <w:rPr>
          <w:rFonts w:hint="eastAsia"/>
          <w:color w:val="auto"/>
          <w:szCs w:val="21"/>
          <w:highlight w:val="none"/>
          <w:u w:val="single"/>
        </w:rPr>
        <w:t xml:space="preserve">       </w:t>
      </w:r>
      <w:r>
        <w:rPr>
          <w:rFonts w:hint="eastAsia"/>
          <w:color w:val="auto"/>
          <w:szCs w:val="21"/>
          <w:highlight w:val="none"/>
        </w:rPr>
        <w:t>天；</w:t>
      </w:r>
      <w:r>
        <w:rPr>
          <w:rFonts w:hint="eastAsia" w:ascii="宋体" w:hAnsi="宋体" w:cs="宋体"/>
          <w:color w:val="auto"/>
          <w:szCs w:val="21"/>
          <w:highlight w:val="none"/>
        </w:rPr>
        <w:t>自</w:t>
      </w:r>
      <w:r>
        <w:rPr>
          <w:rFonts w:hint="eastAsia"/>
          <w:color w:val="auto"/>
          <w:szCs w:val="21"/>
          <w:highlight w:val="none"/>
        </w:rPr>
        <w:t>甲方及丙、丁方发出书面排产通知日（即开工报告）开始计算工期。单项工期与总工期分别进行考核，如有延期，均追究相应责任。</w:t>
      </w:r>
    </w:p>
    <w:p>
      <w:pPr>
        <w:snapToGrid w:val="0"/>
        <w:spacing w:line="360" w:lineRule="auto"/>
        <w:ind w:left="105" w:hanging="105" w:hangingChars="50"/>
        <w:rPr>
          <w:color w:val="auto"/>
          <w:szCs w:val="21"/>
          <w:highlight w:val="none"/>
        </w:rPr>
      </w:pPr>
      <w:r>
        <w:rPr>
          <w:rFonts w:hint="eastAsia"/>
          <w:color w:val="auto"/>
          <w:szCs w:val="21"/>
          <w:highlight w:val="none"/>
        </w:rPr>
        <w:t xml:space="preserve">     2、交货方式</w:t>
      </w:r>
      <w:r>
        <w:rPr>
          <w:rFonts w:hint="eastAsia"/>
          <w:color w:val="auto"/>
          <w:szCs w:val="21"/>
          <w:highlight w:val="none"/>
          <w:u w:val="single"/>
        </w:rPr>
        <w:t xml:space="preserve">  绍兴市妇幼保健院（绍兴儿童医院）  </w:t>
      </w:r>
      <w:r>
        <w:rPr>
          <w:rFonts w:hint="eastAsia"/>
          <w:color w:val="auto"/>
          <w:szCs w:val="21"/>
          <w:highlight w:val="none"/>
        </w:rPr>
        <w:t>项目现场交货。乙方将设备运抵工地现场并初验合格的日期为交货日期。甲方及</w:t>
      </w:r>
      <w:r>
        <w:rPr>
          <w:rFonts w:hint="eastAsia" w:ascii="宋体" w:hAnsi="宋体" w:cs="宋体"/>
          <w:color w:val="auto"/>
          <w:szCs w:val="21"/>
          <w:highlight w:val="none"/>
        </w:rPr>
        <w:t>/</w:t>
      </w:r>
      <w:r>
        <w:rPr>
          <w:rFonts w:ascii="宋体" w:hAnsi="宋体" w:cs="宋体"/>
          <w:color w:val="auto"/>
          <w:szCs w:val="21"/>
          <w:highlight w:val="none"/>
        </w:rPr>
        <w:t>或</w:t>
      </w:r>
      <w:r>
        <w:rPr>
          <w:rFonts w:hint="eastAsia"/>
          <w:color w:val="auto"/>
          <w:szCs w:val="21"/>
          <w:highlight w:val="none"/>
        </w:rPr>
        <w:t>丙、丁方可以要求乙方根据工程进度要求分批交货但不再额外增加其他费用。</w:t>
      </w:r>
    </w:p>
    <w:p>
      <w:pPr>
        <w:snapToGrid w:val="0"/>
        <w:spacing w:line="360" w:lineRule="auto"/>
        <w:ind w:firstLine="210"/>
        <w:rPr>
          <w:color w:val="auto"/>
          <w:szCs w:val="21"/>
          <w:highlight w:val="none"/>
        </w:rPr>
      </w:pPr>
      <w:r>
        <w:rPr>
          <w:rFonts w:hint="eastAsia"/>
          <w:color w:val="auto"/>
          <w:szCs w:val="21"/>
          <w:highlight w:val="none"/>
        </w:rPr>
        <w:t xml:space="preserve">   3、交货地点</w:t>
      </w:r>
    </w:p>
    <w:p>
      <w:pPr>
        <w:snapToGrid w:val="0"/>
        <w:spacing w:line="360" w:lineRule="auto"/>
        <w:ind w:firstLine="105" w:firstLineChars="50"/>
        <w:rPr>
          <w:color w:val="auto"/>
          <w:szCs w:val="21"/>
          <w:highlight w:val="none"/>
        </w:rPr>
      </w:pPr>
      <w:r>
        <w:rPr>
          <w:rFonts w:hint="eastAsia"/>
          <w:color w:val="auto"/>
          <w:szCs w:val="21"/>
          <w:highlight w:val="none"/>
          <w:u w:val="single"/>
        </w:rPr>
        <w:t xml:space="preserve">   绍兴市妇幼保健院（绍兴儿童医院）   </w:t>
      </w:r>
      <w:r>
        <w:rPr>
          <w:rFonts w:hint="eastAsia"/>
          <w:color w:val="auto"/>
          <w:szCs w:val="21"/>
          <w:highlight w:val="none"/>
        </w:rPr>
        <w:t>项目现场交货，并堆放至指定仓库。</w:t>
      </w:r>
    </w:p>
    <w:p>
      <w:pPr>
        <w:snapToGrid w:val="0"/>
        <w:spacing w:line="360" w:lineRule="auto"/>
        <w:ind w:firstLine="105" w:firstLineChars="50"/>
        <w:rPr>
          <w:color w:val="auto"/>
          <w:szCs w:val="21"/>
          <w:highlight w:val="none"/>
        </w:rPr>
      </w:pPr>
      <w:r>
        <w:rPr>
          <w:rFonts w:hint="eastAsia"/>
          <w:color w:val="auto"/>
          <w:szCs w:val="21"/>
          <w:highlight w:val="none"/>
        </w:rPr>
        <w:t xml:space="preserve">    4、接货通知</w:t>
      </w:r>
    </w:p>
    <w:p>
      <w:pPr>
        <w:snapToGrid w:val="0"/>
        <w:spacing w:line="360" w:lineRule="auto"/>
        <w:ind w:firstLine="210"/>
        <w:rPr>
          <w:b/>
          <w:bCs/>
          <w:color w:val="auto"/>
          <w:szCs w:val="21"/>
          <w:highlight w:val="none"/>
        </w:rPr>
      </w:pPr>
      <w:r>
        <w:rPr>
          <w:rFonts w:hint="eastAsia"/>
          <w:color w:val="auto"/>
          <w:szCs w:val="21"/>
          <w:highlight w:val="none"/>
        </w:rPr>
        <w:t xml:space="preserve">   乙方在设备发运前10天，需将准备发运的设备名称、规格、数量、包装箱件数、每件包装箱的尺码、毛重及对货物的卸车、贮存的特殊要求以传真的形式通知甲方及丙、丁方，以便接货。甲方及丙、丁方只协助乙方接货。缷货、清点、搬运、保管、安装调试、试运行等</w:t>
      </w:r>
      <w:r>
        <w:rPr>
          <w:rFonts w:hint="eastAsia" w:ascii="宋体" w:hAnsi="宋体" w:cs="宋体"/>
          <w:color w:val="auto"/>
          <w:szCs w:val="21"/>
          <w:highlight w:val="none"/>
        </w:rPr>
        <w:t>责任</w:t>
      </w:r>
      <w:r>
        <w:rPr>
          <w:rFonts w:hint="eastAsia"/>
          <w:color w:val="auto"/>
          <w:szCs w:val="21"/>
          <w:highlight w:val="none"/>
        </w:rPr>
        <w:t>均由乙方负责，并承担相应费用。</w:t>
      </w:r>
    </w:p>
    <w:p>
      <w:pPr>
        <w:snapToGrid w:val="0"/>
        <w:spacing w:line="360" w:lineRule="auto"/>
        <w:ind w:firstLine="210"/>
        <w:rPr>
          <w:color w:val="auto"/>
          <w:szCs w:val="21"/>
          <w:highlight w:val="none"/>
        </w:rPr>
      </w:pPr>
      <w:r>
        <w:rPr>
          <w:rFonts w:hint="eastAsia"/>
          <w:color w:val="auto"/>
          <w:szCs w:val="21"/>
          <w:highlight w:val="none"/>
        </w:rPr>
        <w:t xml:space="preserve">   5、运输及装卸保险</w:t>
      </w:r>
    </w:p>
    <w:p>
      <w:pPr>
        <w:snapToGrid w:val="0"/>
        <w:spacing w:line="360" w:lineRule="auto"/>
        <w:ind w:firstLine="210"/>
        <w:rPr>
          <w:color w:val="auto"/>
          <w:szCs w:val="21"/>
          <w:highlight w:val="none"/>
        </w:rPr>
      </w:pPr>
      <w:r>
        <w:rPr>
          <w:rFonts w:hint="eastAsia"/>
          <w:color w:val="auto"/>
          <w:szCs w:val="21"/>
          <w:highlight w:val="none"/>
        </w:rPr>
        <w:t xml:space="preserve">   5.1货物在装运前由乙方投保，一旦货物在装卸、运输过程中发生损坏或短缺，由乙方负责索赔。</w:t>
      </w:r>
    </w:p>
    <w:p>
      <w:pPr>
        <w:snapToGrid w:val="0"/>
        <w:spacing w:line="360" w:lineRule="auto"/>
        <w:ind w:firstLine="210"/>
        <w:rPr>
          <w:color w:val="auto"/>
          <w:szCs w:val="21"/>
          <w:highlight w:val="none"/>
        </w:rPr>
      </w:pPr>
      <w:r>
        <w:rPr>
          <w:rFonts w:hint="eastAsia"/>
          <w:color w:val="auto"/>
          <w:szCs w:val="21"/>
          <w:highlight w:val="none"/>
        </w:rPr>
        <w:t xml:space="preserve">   5.2乙方保证在确认货物因装卸、运输中发生损坏或短缺后，尽快给予调换、修复和补齐缺件，不管其造成的原因如何，也不以办理索赔为由而拖延。</w:t>
      </w:r>
    </w:p>
    <w:p>
      <w:pPr>
        <w:spacing w:line="360" w:lineRule="auto"/>
        <w:ind w:firstLine="210"/>
        <w:rPr>
          <w:color w:val="auto"/>
          <w:szCs w:val="21"/>
          <w:highlight w:val="none"/>
        </w:rPr>
      </w:pPr>
      <w:r>
        <w:rPr>
          <w:rFonts w:hint="eastAsia"/>
          <w:color w:val="auto"/>
          <w:szCs w:val="21"/>
          <w:highlight w:val="none"/>
        </w:rPr>
        <w:t xml:space="preserve">   5.3乙方工作人员及设备进场时，应遵守交货现场环境卫生管理、安全管理的有关规定，配备相应的环境保护及安全措施。承担因自身原因违反有关规定而导致的所有责任。</w:t>
      </w:r>
    </w:p>
    <w:p>
      <w:pPr>
        <w:keepNext/>
        <w:keepLines/>
        <w:adjustRightInd w:val="0"/>
        <w:snapToGrid w:val="0"/>
        <w:spacing w:line="360" w:lineRule="auto"/>
        <w:ind w:firstLine="210"/>
        <w:outlineLvl w:val="2"/>
        <w:rPr>
          <w:color w:val="auto"/>
          <w:szCs w:val="21"/>
          <w:highlight w:val="none"/>
        </w:rPr>
      </w:pPr>
      <w:bookmarkStart w:id="436" w:name="_Toc21937"/>
      <w:r>
        <w:rPr>
          <w:rFonts w:hint="eastAsia"/>
          <w:bCs/>
          <w:color w:val="auto"/>
          <w:szCs w:val="21"/>
          <w:highlight w:val="none"/>
        </w:rPr>
        <w:t>6、</w:t>
      </w:r>
      <w:r>
        <w:rPr>
          <w:rFonts w:hint="eastAsia"/>
          <w:color w:val="auto"/>
          <w:szCs w:val="21"/>
          <w:highlight w:val="none"/>
        </w:rPr>
        <w:t>付款方式</w:t>
      </w:r>
      <w:bookmarkEnd w:id="436"/>
    </w:p>
    <w:p>
      <w:pPr>
        <w:pStyle w:val="63"/>
        <w:adjustRightInd w:val="0"/>
        <w:snapToGrid w:val="0"/>
        <w:spacing w:before="0"/>
        <w:ind w:firstLine="420"/>
        <w:rPr>
          <w:color w:val="auto"/>
          <w:sz w:val="21"/>
          <w:szCs w:val="21"/>
          <w:highlight w:val="none"/>
        </w:rPr>
      </w:pPr>
      <w:r>
        <w:rPr>
          <w:rFonts w:hint="eastAsia"/>
          <w:color w:val="auto"/>
          <w:sz w:val="21"/>
          <w:szCs w:val="21"/>
          <w:highlight w:val="none"/>
        </w:rPr>
        <w:t>（1）预付款</w:t>
      </w:r>
    </w:p>
    <w:p>
      <w:pPr>
        <w:pStyle w:val="63"/>
        <w:adjustRightInd w:val="0"/>
        <w:snapToGrid w:val="0"/>
        <w:spacing w:before="0"/>
        <w:ind w:firstLine="420"/>
        <w:rPr>
          <w:color w:val="FF0000"/>
          <w:sz w:val="21"/>
          <w:szCs w:val="21"/>
          <w:highlight w:val="none"/>
        </w:rPr>
      </w:pPr>
      <w:r>
        <w:rPr>
          <w:rFonts w:hint="eastAsia"/>
          <w:color w:val="FF0000"/>
          <w:sz w:val="21"/>
          <w:szCs w:val="21"/>
          <w:highlight w:val="none"/>
        </w:rPr>
        <w:t>第1次付款：</w:t>
      </w:r>
      <w:r>
        <w:rPr>
          <w:rFonts w:hint="eastAsia" w:ascii="宋体" w:hAnsi="宋体"/>
          <w:color w:val="FF0000"/>
          <w:sz w:val="21"/>
          <w:szCs w:val="21"/>
          <w:highlight w:val="none"/>
        </w:rPr>
        <w:t>合同签订生效后，发包人向承包人</w:t>
      </w:r>
      <w:r>
        <w:rPr>
          <w:rFonts w:hint="eastAsia" w:ascii="宋体" w:hAnsi="宋体"/>
          <w:color w:val="FF0000"/>
          <w:sz w:val="21"/>
          <w:szCs w:val="21"/>
          <w:highlight w:val="yellow"/>
        </w:rPr>
        <w:t>支付合同总价的30</w:t>
      </w:r>
      <w:r>
        <w:rPr>
          <w:rFonts w:ascii="宋体" w:hAnsi="宋体"/>
          <w:color w:val="FF0000"/>
          <w:sz w:val="21"/>
          <w:szCs w:val="21"/>
          <w:highlight w:val="yellow"/>
        </w:rPr>
        <w:t>%的预付款</w:t>
      </w:r>
      <w:r>
        <w:rPr>
          <w:rFonts w:ascii="宋体" w:hAnsi="宋体"/>
          <w:color w:val="FF0000"/>
          <w:sz w:val="21"/>
          <w:szCs w:val="21"/>
          <w:highlight w:val="none"/>
        </w:rPr>
        <w:t>。预付款与合同履行同步进行，预付款支付进程不得影响合同的履行</w:t>
      </w:r>
      <w:r>
        <w:rPr>
          <w:rFonts w:hint="eastAsia"/>
          <w:color w:val="FF0000"/>
          <w:sz w:val="21"/>
          <w:szCs w:val="21"/>
          <w:highlight w:val="none"/>
        </w:rPr>
        <w:t>，乙方不得以预付款支付问题停止合同的履行。</w:t>
      </w:r>
    </w:p>
    <w:p>
      <w:pPr>
        <w:pStyle w:val="63"/>
        <w:numPr>
          <w:ilvl w:val="0"/>
          <w:numId w:val="5"/>
        </w:numPr>
        <w:adjustRightInd w:val="0"/>
        <w:snapToGrid w:val="0"/>
        <w:spacing w:before="0"/>
        <w:ind w:firstLine="420"/>
        <w:rPr>
          <w:color w:val="auto"/>
          <w:sz w:val="21"/>
          <w:szCs w:val="21"/>
          <w:highlight w:val="none"/>
        </w:rPr>
      </w:pPr>
      <w:r>
        <w:rPr>
          <w:rFonts w:hint="eastAsia"/>
          <w:color w:val="auto"/>
          <w:sz w:val="21"/>
          <w:szCs w:val="21"/>
          <w:highlight w:val="none"/>
        </w:rPr>
        <w:t>货款支付</w:t>
      </w:r>
    </w:p>
    <w:p>
      <w:pPr>
        <w:pStyle w:val="63"/>
        <w:adjustRightInd w:val="0"/>
        <w:snapToGrid w:val="0"/>
        <w:spacing w:before="0"/>
        <w:ind w:firstLine="420"/>
        <w:rPr>
          <w:rFonts w:ascii="宋体" w:hAnsi="宋体"/>
          <w:color w:val="FF0000"/>
          <w:sz w:val="21"/>
          <w:szCs w:val="21"/>
          <w:highlight w:val="none"/>
        </w:rPr>
      </w:pPr>
      <w:r>
        <w:rPr>
          <w:rFonts w:hint="eastAsia"/>
          <w:color w:val="FF0000"/>
          <w:sz w:val="21"/>
          <w:szCs w:val="21"/>
          <w:highlight w:val="none"/>
        </w:rPr>
        <w:t>第2次付款：主要设备到货并初验合格后，支付至合同</w:t>
      </w:r>
      <w:r>
        <w:rPr>
          <w:rFonts w:hint="eastAsia" w:ascii="宋体" w:hAnsi="宋体"/>
          <w:bCs/>
          <w:color w:val="FF0000"/>
          <w:sz w:val="21"/>
          <w:szCs w:val="21"/>
          <w:highlight w:val="none"/>
        </w:rPr>
        <w:t>总</w:t>
      </w:r>
      <w:r>
        <w:rPr>
          <w:rFonts w:hint="eastAsia"/>
          <w:color w:val="FF0000"/>
          <w:sz w:val="21"/>
          <w:szCs w:val="21"/>
          <w:highlight w:val="none"/>
        </w:rPr>
        <w:t>价的60%</w:t>
      </w:r>
      <w:r>
        <w:rPr>
          <w:rFonts w:ascii="宋体" w:hAnsi="宋体"/>
          <w:color w:val="FF0000"/>
          <w:sz w:val="21"/>
          <w:szCs w:val="21"/>
          <w:highlight w:val="none"/>
        </w:rPr>
        <w:t>。</w:t>
      </w:r>
    </w:p>
    <w:p>
      <w:pPr>
        <w:pStyle w:val="63"/>
        <w:adjustRightInd w:val="0"/>
        <w:snapToGrid w:val="0"/>
        <w:spacing w:before="0"/>
        <w:ind w:firstLine="420"/>
        <w:rPr>
          <w:rFonts w:ascii="宋体" w:hAnsi="宋体"/>
          <w:color w:val="FF0000"/>
          <w:sz w:val="21"/>
          <w:szCs w:val="21"/>
          <w:highlight w:val="none"/>
        </w:rPr>
      </w:pPr>
      <w:r>
        <w:rPr>
          <w:rFonts w:hint="eastAsia" w:ascii="宋体" w:hAnsi="宋体"/>
          <w:color w:val="FF0000"/>
          <w:sz w:val="21"/>
          <w:szCs w:val="21"/>
          <w:highlight w:val="none"/>
        </w:rPr>
        <w:t>第3次付款：</w:t>
      </w:r>
      <w:r>
        <w:rPr>
          <w:rFonts w:hint="eastAsia" w:ascii="宋体" w:hAnsi="宋体"/>
          <w:b/>
          <w:color w:val="FF0000"/>
          <w:sz w:val="21"/>
          <w:szCs w:val="21"/>
          <w:highlight w:val="none"/>
        </w:rPr>
        <w:t>在所有设备安装、调试完成，经过试运行，通过验收并按买方要求移交所有资料后10个工作日内支付合同总价的85%，并退还履约保证金</w:t>
      </w:r>
      <w:r>
        <w:rPr>
          <w:rFonts w:ascii="宋体" w:hAnsi="宋体"/>
          <w:color w:val="FF0000"/>
          <w:sz w:val="21"/>
          <w:szCs w:val="21"/>
          <w:highlight w:val="none"/>
        </w:rPr>
        <w:t>。</w:t>
      </w:r>
    </w:p>
    <w:p>
      <w:pPr>
        <w:pStyle w:val="63"/>
        <w:adjustRightInd w:val="0"/>
        <w:snapToGrid w:val="0"/>
        <w:spacing w:before="0"/>
        <w:ind w:firstLine="480"/>
        <w:rPr>
          <w:rFonts w:ascii="宋体" w:hAnsi="宋体"/>
          <w:color w:val="FF0000"/>
          <w:sz w:val="21"/>
          <w:szCs w:val="21"/>
          <w:highlight w:val="none"/>
        </w:rPr>
      </w:pPr>
      <w:r>
        <w:rPr>
          <w:rFonts w:hint="eastAsia" w:ascii="宋体" w:hAnsi="宋体"/>
          <w:color w:val="FF0000"/>
          <w:szCs w:val="21"/>
          <w:highlight w:val="none"/>
        </w:rPr>
        <w:t>第4次付款：</w:t>
      </w:r>
      <w:r>
        <w:rPr>
          <w:rFonts w:hint="eastAsia" w:ascii="宋体" w:hAnsi="宋体"/>
          <w:b/>
          <w:color w:val="FF0000"/>
          <w:sz w:val="21"/>
          <w:szCs w:val="21"/>
          <w:highlight w:val="none"/>
        </w:rPr>
        <w:t>通过验收并试运行二个月后</w:t>
      </w:r>
      <w:r>
        <w:rPr>
          <w:rFonts w:ascii="宋体" w:hAnsi="宋体"/>
          <w:b/>
          <w:color w:val="FF0000"/>
          <w:sz w:val="21"/>
          <w:szCs w:val="21"/>
          <w:highlight w:val="none"/>
        </w:rPr>
        <w:t>10个工作日内支付至结算总价的97.5%，余款2.5%待质量保证期满无质量问题经买方确认后10工作日内付清（不计利息）</w:t>
      </w:r>
      <w:r>
        <w:rPr>
          <w:rFonts w:ascii="宋体" w:hAnsi="宋体"/>
          <w:color w:val="FF0000"/>
          <w:sz w:val="21"/>
          <w:szCs w:val="21"/>
          <w:highlight w:val="none"/>
        </w:rPr>
        <w:t>。</w:t>
      </w:r>
    </w:p>
    <w:p>
      <w:pPr>
        <w:pStyle w:val="63"/>
        <w:adjustRightInd w:val="0"/>
        <w:snapToGrid w:val="0"/>
        <w:spacing w:before="0"/>
        <w:ind w:firstLine="420"/>
        <w:rPr>
          <w:color w:val="FF0000"/>
          <w:sz w:val="21"/>
          <w:szCs w:val="21"/>
          <w:highlight w:val="none"/>
        </w:rPr>
      </w:pPr>
      <w:r>
        <w:rPr>
          <w:rFonts w:hint="eastAsia" w:ascii="宋体" w:hAnsi="宋体" w:cs="宋体"/>
          <w:color w:val="FF0000"/>
          <w:sz w:val="21"/>
          <w:szCs w:val="21"/>
          <w:highlight w:val="none"/>
        </w:rPr>
        <w:t>第5次付款：余款2.5%（不计利息）作为保修金，在保修期满后后15日内一次性付清</w:t>
      </w:r>
      <w:r>
        <w:rPr>
          <w:rFonts w:hint="eastAsia"/>
          <w:color w:val="FF0000"/>
          <w:sz w:val="21"/>
          <w:szCs w:val="21"/>
          <w:highlight w:val="none"/>
        </w:rPr>
        <w:t>。</w:t>
      </w:r>
    </w:p>
    <w:p>
      <w:pPr>
        <w:pStyle w:val="63"/>
        <w:adjustRightInd w:val="0"/>
        <w:snapToGrid w:val="0"/>
        <w:spacing w:before="0"/>
        <w:ind w:firstLine="420"/>
        <w:rPr>
          <w:color w:val="auto"/>
          <w:sz w:val="21"/>
          <w:szCs w:val="21"/>
          <w:highlight w:val="none"/>
        </w:rPr>
      </w:pPr>
      <w:r>
        <w:rPr>
          <w:rFonts w:hint="eastAsia" w:ascii="宋体" w:hAnsi="宋体" w:cs="宋体"/>
          <w:color w:val="auto"/>
          <w:sz w:val="21"/>
          <w:szCs w:val="21"/>
          <w:highlight w:val="none"/>
        </w:rPr>
        <w:t>保修金在项目质保期满且质保期内及时完成维保，售后服务良好，无质量和服务问题，经各方验收认可无误后无息支付。</w:t>
      </w:r>
    </w:p>
    <w:p>
      <w:pPr>
        <w:pStyle w:val="63"/>
        <w:adjustRightInd w:val="0"/>
        <w:snapToGrid w:val="0"/>
        <w:spacing w:before="0"/>
        <w:ind w:firstLine="422"/>
        <w:rPr>
          <w:b/>
          <w:color w:val="auto"/>
          <w:sz w:val="21"/>
          <w:szCs w:val="21"/>
          <w:highlight w:val="none"/>
          <w:u w:val="single"/>
        </w:rPr>
      </w:pPr>
      <w:r>
        <w:rPr>
          <w:rFonts w:hint="eastAsia"/>
          <w:b/>
          <w:color w:val="auto"/>
          <w:sz w:val="21"/>
          <w:szCs w:val="21"/>
          <w:highlight w:val="none"/>
          <w:u w:val="single"/>
        </w:rPr>
        <w:t>注：甲方除收取水电费等1%直接费、总承包服务费3%及招标相关费用以外，不得向乙方收取其他任何费用，不再增加或减少其他任何费用和税金。每笔货款支付前，乙方必须提供收款单位与本合同签订单位一致的正规、等额、合法、有效的发票及验收单、入库单等办理相关支付手续的报审资料；货款的支付需经监理方总监理工程师及甲方代表签字及盖章，并审核同意后15个工作日内支付。若乙方延期提供的</w:t>
      </w:r>
      <w:r>
        <w:rPr>
          <w:b/>
          <w:color w:val="auto"/>
          <w:sz w:val="21"/>
          <w:szCs w:val="21"/>
          <w:highlight w:val="none"/>
          <w:u w:val="single"/>
        </w:rPr>
        <w:t>，</w:t>
      </w:r>
      <w:r>
        <w:rPr>
          <w:rFonts w:hint="eastAsia"/>
          <w:b/>
          <w:color w:val="auto"/>
          <w:sz w:val="21"/>
          <w:szCs w:val="21"/>
          <w:highlight w:val="none"/>
          <w:u w:val="single"/>
        </w:rPr>
        <w:t>甲方有权顺延付款</w:t>
      </w:r>
      <w:r>
        <w:rPr>
          <w:b/>
          <w:color w:val="auto"/>
          <w:sz w:val="21"/>
          <w:szCs w:val="21"/>
          <w:highlight w:val="none"/>
          <w:u w:val="single"/>
        </w:rPr>
        <w:t>。</w:t>
      </w:r>
    </w:p>
    <w:p>
      <w:pPr>
        <w:pStyle w:val="63"/>
        <w:adjustRightInd w:val="0"/>
        <w:snapToGrid w:val="0"/>
        <w:spacing w:before="0"/>
        <w:ind w:firstLine="422"/>
        <w:rPr>
          <w:b/>
          <w:color w:val="auto"/>
          <w:sz w:val="21"/>
          <w:szCs w:val="21"/>
          <w:highlight w:val="none"/>
          <w:u w:val="single"/>
        </w:rPr>
      </w:pPr>
      <w:r>
        <w:rPr>
          <w:rFonts w:hint="eastAsia"/>
          <w:b/>
          <w:color w:val="auto"/>
          <w:sz w:val="21"/>
          <w:szCs w:val="21"/>
          <w:highlight w:val="none"/>
          <w:u w:val="single"/>
        </w:rPr>
        <w:t>甲方每次向乙方支付的款项均基于丙方向甲方支付后再支付给乙方，如丙方未支付相应款项给甲方，甲方有权不支付乙方任何款项。</w:t>
      </w:r>
    </w:p>
    <w:p>
      <w:pPr>
        <w:pStyle w:val="63"/>
        <w:adjustRightInd w:val="0"/>
        <w:snapToGrid w:val="0"/>
        <w:spacing w:before="0"/>
        <w:ind w:firstLine="422"/>
        <w:rPr>
          <w:b/>
          <w:strike/>
          <w:color w:val="auto"/>
          <w:sz w:val="21"/>
          <w:szCs w:val="21"/>
          <w:highlight w:val="none"/>
          <w:u w:val="single"/>
        </w:rPr>
      </w:pPr>
      <w:r>
        <w:rPr>
          <w:rFonts w:hint="eastAsia" w:ascii="宋体" w:hAnsi="宋体" w:cs="宋体"/>
          <w:b/>
          <w:color w:val="auto"/>
          <w:sz w:val="21"/>
          <w:szCs w:val="21"/>
          <w:highlight w:val="none"/>
          <w:u w:val="single"/>
        </w:rPr>
        <w:t>每次付款（含预付款）前，乙方应向付款方提交付款申请、具备付款条件的依据及相应金额的发票，否则可暂停支付，相应的不利后果由乙方自行承担</w:t>
      </w:r>
      <w:r>
        <w:rPr>
          <w:rFonts w:hint="eastAsia"/>
          <w:b/>
          <w:color w:val="auto"/>
          <w:sz w:val="21"/>
          <w:szCs w:val="21"/>
          <w:highlight w:val="none"/>
          <w:u w:val="single"/>
        </w:rPr>
        <w:t>。</w:t>
      </w:r>
    </w:p>
    <w:p>
      <w:pPr>
        <w:spacing w:line="360" w:lineRule="auto"/>
        <w:ind w:firstLine="487" w:firstLineChars="231"/>
        <w:rPr>
          <w:b/>
          <w:color w:val="auto"/>
          <w:szCs w:val="21"/>
          <w:highlight w:val="none"/>
        </w:rPr>
      </w:pPr>
      <w:r>
        <w:rPr>
          <w:rFonts w:hint="eastAsia"/>
          <w:b/>
          <w:color w:val="auto"/>
          <w:szCs w:val="21"/>
          <w:highlight w:val="none"/>
        </w:rPr>
        <w:t>7、结算原则</w:t>
      </w:r>
    </w:p>
    <w:p>
      <w:pPr>
        <w:pStyle w:val="64"/>
        <w:spacing w:line="360" w:lineRule="auto"/>
        <w:ind w:firstLine="420"/>
        <w:rPr>
          <w:rFonts w:ascii="宋体" w:eastAsia="宋体"/>
          <w:color w:val="FF0000"/>
          <w:sz w:val="21"/>
          <w:szCs w:val="21"/>
          <w:highlight w:val="none"/>
        </w:rPr>
      </w:pPr>
      <w:r>
        <w:rPr>
          <w:rFonts w:hint="eastAsia" w:ascii="宋体" w:eastAsia="宋体"/>
          <w:color w:val="FF0000"/>
          <w:sz w:val="21"/>
          <w:szCs w:val="21"/>
          <w:highlight w:val="none"/>
          <w:lang w:val="en-US" w:eastAsia="zh-CN"/>
        </w:rPr>
        <w:t>本工程采用</w:t>
      </w:r>
      <w:r>
        <w:rPr>
          <w:rFonts w:hint="eastAsia" w:ascii="宋体" w:eastAsia="宋体"/>
          <w:color w:val="FF0000"/>
          <w:sz w:val="21"/>
          <w:szCs w:val="21"/>
          <w:highlight w:val="none"/>
        </w:rPr>
        <w:t>总价</w:t>
      </w:r>
      <w:r>
        <w:rPr>
          <w:rFonts w:hint="eastAsia" w:ascii="宋体" w:eastAsia="宋体"/>
          <w:color w:val="FF0000"/>
          <w:sz w:val="21"/>
          <w:szCs w:val="21"/>
          <w:highlight w:val="none"/>
          <w:lang w:val="en-US" w:eastAsia="zh-CN"/>
        </w:rPr>
        <w:t>合同</w:t>
      </w:r>
      <w:r>
        <w:rPr>
          <w:rFonts w:hint="eastAsia" w:ascii="宋体" w:eastAsia="宋体"/>
          <w:color w:val="FF0000"/>
          <w:sz w:val="21"/>
          <w:szCs w:val="21"/>
          <w:highlight w:val="none"/>
          <w:lang w:eastAsia="zh-CN"/>
        </w:rPr>
        <w:t>，</w:t>
      </w:r>
      <w:r>
        <w:rPr>
          <w:rFonts w:hint="eastAsia" w:ascii="宋体" w:eastAsia="宋体"/>
          <w:color w:val="FF0000"/>
          <w:sz w:val="21"/>
          <w:szCs w:val="21"/>
          <w:highlight w:val="none"/>
        </w:rPr>
        <w:t>丙、丁方有权增减工作范围，该费用应予以增减，在结算时按中标单价按实调整</w:t>
      </w:r>
      <w:r>
        <w:rPr>
          <w:rFonts w:hint="eastAsia" w:ascii="宋体" w:eastAsia="宋体"/>
          <w:color w:val="FF0000"/>
          <w:sz w:val="21"/>
          <w:szCs w:val="21"/>
          <w:highlight w:val="none"/>
          <w:lang w:eastAsia="zh-CN"/>
        </w:rPr>
        <w:t>，</w:t>
      </w:r>
      <w:r>
        <w:rPr>
          <w:rFonts w:hint="eastAsia" w:ascii="宋体" w:eastAsia="宋体"/>
          <w:color w:val="FF0000"/>
          <w:sz w:val="21"/>
          <w:szCs w:val="21"/>
          <w:highlight w:val="none"/>
          <w:lang w:val="en-US" w:eastAsia="zh-CN"/>
        </w:rPr>
        <w:t>漏项部分需优化设计，最多不超过合</w:t>
      </w:r>
      <w:r>
        <w:rPr>
          <w:rFonts w:hint="eastAsia" w:ascii="宋体" w:eastAsia="宋体"/>
          <w:color w:val="FF0000"/>
          <w:sz w:val="21"/>
          <w:szCs w:val="21"/>
          <w:highlight w:val="yellow"/>
          <w:lang w:val="en-US" w:eastAsia="zh-CN"/>
        </w:rPr>
        <w:t>同总价的5%，5%以内</w:t>
      </w:r>
      <w:r>
        <w:rPr>
          <w:rFonts w:hint="eastAsia" w:ascii="宋体" w:eastAsia="宋体"/>
          <w:color w:val="FF0000"/>
          <w:sz w:val="21"/>
          <w:szCs w:val="21"/>
          <w:highlight w:val="none"/>
          <w:lang w:val="en-US" w:eastAsia="zh-CN"/>
        </w:rPr>
        <w:t>部分按实结算，超过5%以上部分不予支付，视为乙方为做好优化设计工作，漏项部分单价定价需以最终的审计为准</w:t>
      </w:r>
      <w:r>
        <w:rPr>
          <w:rFonts w:hint="eastAsia" w:ascii="宋体" w:eastAsia="宋体"/>
          <w:color w:val="FF0000"/>
          <w:sz w:val="21"/>
          <w:szCs w:val="21"/>
          <w:highlight w:val="none"/>
        </w:rPr>
        <w:t>。</w:t>
      </w:r>
    </w:p>
    <w:p>
      <w:pPr>
        <w:snapToGrid w:val="0"/>
        <w:spacing w:line="360" w:lineRule="auto"/>
        <w:ind w:firstLine="105" w:firstLineChars="50"/>
        <w:rPr>
          <w:b/>
          <w:color w:val="auto"/>
          <w:szCs w:val="21"/>
          <w:highlight w:val="none"/>
        </w:rPr>
      </w:pPr>
      <w:r>
        <w:rPr>
          <w:rFonts w:hint="eastAsia"/>
          <w:b/>
          <w:color w:val="auto"/>
          <w:szCs w:val="21"/>
          <w:highlight w:val="none"/>
        </w:rPr>
        <w:t xml:space="preserve"> 8、文件和技术资料</w:t>
      </w:r>
    </w:p>
    <w:p>
      <w:pPr>
        <w:snapToGrid w:val="0"/>
        <w:spacing w:line="360" w:lineRule="auto"/>
        <w:ind w:firstLine="210"/>
        <w:rPr>
          <w:color w:val="auto"/>
          <w:szCs w:val="21"/>
          <w:highlight w:val="none"/>
        </w:rPr>
      </w:pPr>
      <w:r>
        <w:rPr>
          <w:rFonts w:hint="eastAsia"/>
          <w:color w:val="auto"/>
          <w:szCs w:val="21"/>
          <w:highlight w:val="none"/>
        </w:rPr>
        <w:t xml:space="preserve">    设备交货时乙方向甲方及丙、丁方提供下列技术资料、图纸和文件：</w:t>
      </w:r>
    </w:p>
    <w:p>
      <w:pPr>
        <w:snapToGrid w:val="0"/>
        <w:spacing w:line="360" w:lineRule="auto"/>
        <w:ind w:firstLine="420" w:firstLineChars="200"/>
        <w:rPr>
          <w:color w:val="auto"/>
          <w:szCs w:val="21"/>
          <w:highlight w:val="none"/>
        </w:rPr>
      </w:pPr>
      <w:r>
        <w:rPr>
          <w:rFonts w:hint="eastAsia"/>
          <w:color w:val="auto"/>
          <w:szCs w:val="21"/>
          <w:highlight w:val="none"/>
        </w:rPr>
        <w:t>1）制作期间的试验、检试报告。</w:t>
      </w:r>
    </w:p>
    <w:p>
      <w:pPr>
        <w:snapToGrid w:val="0"/>
        <w:spacing w:line="360" w:lineRule="auto"/>
        <w:ind w:firstLine="420" w:firstLineChars="200"/>
        <w:rPr>
          <w:color w:val="auto"/>
          <w:szCs w:val="21"/>
          <w:highlight w:val="none"/>
        </w:rPr>
      </w:pPr>
      <w:r>
        <w:rPr>
          <w:rFonts w:hint="eastAsia"/>
          <w:color w:val="auto"/>
          <w:szCs w:val="21"/>
          <w:highlight w:val="none"/>
        </w:rPr>
        <w:t>2）出厂检试报告</w:t>
      </w:r>
    </w:p>
    <w:p>
      <w:pPr>
        <w:snapToGrid w:val="0"/>
        <w:spacing w:line="360" w:lineRule="auto"/>
        <w:ind w:firstLine="420" w:firstLineChars="200"/>
        <w:rPr>
          <w:color w:val="auto"/>
          <w:szCs w:val="21"/>
          <w:highlight w:val="none"/>
        </w:rPr>
      </w:pPr>
      <w:r>
        <w:rPr>
          <w:rFonts w:hint="eastAsia"/>
          <w:color w:val="auto"/>
          <w:szCs w:val="21"/>
          <w:highlight w:val="none"/>
        </w:rPr>
        <w:t>3）设备安装使用说明书。此说明书不应少于如下内容：</w:t>
      </w:r>
    </w:p>
    <w:p>
      <w:pPr>
        <w:tabs>
          <w:tab w:val="left" w:pos="560"/>
          <w:tab w:val="left" w:pos="1400"/>
        </w:tabs>
        <w:snapToGrid w:val="0"/>
        <w:spacing w:line="360" w:lineRule="auto"/>
        <w:ind w:firstLine="210"/>
        <w:rPr>
          <w:color w:val="auto"/>
          <w:szCs w:val="21"/>
          <w:highlight w:val="none"/>
        </w:rPr>
      </w:pPr>
      <w:r>
        <w:rPr>
          <w:rFonts w:hint="eastAsia"/>
          <w:color w:val="auto"/>
          <w:szCs w:val="21"/>
          <w:highlight w:val="none"/>
        </w:rPr>
        <w:t xml:space="preserve">    a、电气接线图；</w:t>
      </w:r>
    </w:p>
    <w:p>
      <w:pPr>
        <w:snapToGrid w:val="0"/>
        <w:spacing w:line="360" w:lineRule="auto"/>
        <w:ind w:firstLine="210"/>
        <w:rPr>
          <w:color w:val="auto"/>
          <w:szCs w:val="21"/>
          <w:highlight w:val="none"/>
        </w:rPr>
      </w:pPr>
      <w:r>
        <w:rPr>
          <w:rFonts w:hint="eastAsia"/>
          <w:color w:val="auto"/>
          <w:szCs w:val="21"/>
          <w:highlight w:val="none"/>
        </w:rPr>
        <w:t xml:space="preserve">    b、设备操作与维修手册。</w:t>
      </w:r>
    </w:p>
    <w:p>
      <w:pPr>
        <w:snapToGrid w:val="0"/>
        <w:spacing w:line="360" w:lineRule="auto"/>
        <w:ind w:firstLine="210"/>
        <w:rPr>
          <w:color w:val="auto"/>
          <w:szCs w:val="21"/>
          <w:highlight w:val="none"/>
        </w:rPr>
      </w:pPr>
      <w:r>
        <w:rPr>
          <w:rFonts w:hint="eastAsia"/>
          <w:color w:val="auto"/>
          <w:szCs w:val="21"/>
          <w:highlight w:val="none"/>
        </w:rPr>
        <w:t xml:space="preserve">  4）产品合格证</w:t>
      </w:r>
    </w:p>
    <w:p>
      <w:pPr>
        <w:snapToGrid w:val="0"/>
        <w:spacing w:line="360" w:lineRule="auto"/>
        <w:ind w:firstLine="210"/>
        <w:rPr>
          <w:b/>
          <w:bCs/>
          <w:color w:val="auto"/>
          <w:szCs w:val="21"/>
          <w:highlight w:val="none"/>
        </w:rPr>
      </w:pPr>
      <w:r>
        <w:rPr>
          <w:rFonts w:hint="eastAsia"/>
          <w:b/>
          <w:bCs/>
          <w:color w:val="auto"/>
          <w:szCs w:val="21"/>
          <w:highlight w:val="none"/>
        </w:rPr>
        <w:t xml:space="preserve">  9、技术服务</w:t>
      </w:r>
    </w:p>
    <w:p>
      <w:pPr>
        <w:snapToGrid w:val="0"/>
        <w:spacing w:line="360" w:lineRule="auto"/>
        <w:ind w:firstLine="210"/>
        <w:rPr>
          <w:color w:val="auto"/>
          <w:szCs w:val="21"/>
          <w:highlight w:val="none"/>
        </w:rPr>
      </w:pPr>
      <w:r>
        <w:rPr>
          <w:rFonts w:hint="eastAsia"/>
          <w:color w:val="auto"/>
          <w:szCs w:val="21"/>
          <w:highlight w:val="none"/>
        </w:rPr>
        <w:t xml:space="preserve">    乙方免费对甲方及丙、丁方的操作、维修人员在厂方或使用地进行技术培训。</w:t>
      </w:r>
    </w:p>
    <w:p>
      <w:pPr>
        <w:tabs>
          <w:tab w:val="left" w:pos="280"/>
        </w:tabs>
        <w:snapToGrid w:val="0"/>
        <w:spacing w:line="360" w:lineRule="auto"/>
        <w:ind w:firstLine="210"/>
        <w:rPr>
          <w:b/>
          <w:color w:val="auto"/>
          <w:szCs w:val="21"/>
          <w:highlight w:val="none"/>
        </w:rPr>
      </w:pPr>
      <w:r>
        <w:rPr>
          <w:rFonts w:hint="eastAsia"/>
          <w:b/>
          <w:color w:val="auto"/>
          <w:szCs w:val="21"/>
          <w:highlight w:val="none"/>
        </w:rPr>
        <w:t xml:space="preserve"> 10、质量、技术标准</w:t>
      </w:r>
    </w:p>
    <w:p>
      <w:pPr>
        <w:tabs>
          <w:tab w:val="left" w:pos="280"/>
        </w:tabs>
        <w:snapToGrid w:val="0"/>
        <w:spacing w:line="360" w:lineRule="auto"/>
        <w:ind w:firstLine="210"/>
        <w:rPr>
          <w:color w:val="auto"/>
          <w:szCs w:val="21"/>
          <w:highlight w:val="none"/>
        </w:rPr>
      </w:pPr>
      <w:r>
        <w:rPr>
          <w:rFonts w:hint="eastAsia"/>
          <w:color w:val="auto"/>
          <w:szCs w:val="21"/>
          <w:highlight w:val="none"/>
        </w:rPr>
        <w:t xml:space="preserve">  10.1 设备的制造、安装、验收标准及技术规范，必须符合中国国家标准，或甲方及丙、丁方认可的其他标准。乙方必须保证交货产品各项性能不得低于中国国家标准或甲方及丙、丁方认可的其他标准，甲方及丙方随时有抽检及送检产品的权利，检验机构为政府法定检验机构。对于产品的任何技术及质量不合格，乙方承担检测费用，甲方及丙、丁方有权拒收、部分拒收、退货、部分退货直至解除本合同，追究乙方违约责任，并要求乙方支付承担因此造成的所有损失。因此造成工期违约的</w:t>
      </w:r>
      <w:r>
        <w:rPr>
          <w:color w:val="auto"/>
          <w:szCs w:val="21"/>
          <w:highlight w:val="none"/>
        </w:rPr>
        <w:t>，</w:t>
      </w:r>
      <w:r>
        <w:rPr>
          <w:rFonts w:hint="eastAsia"/>
          <w:color w:val="auto"/>
          <w:szCs w:val="21"/>
          <w:highlight w:val="none"/>
        </w:rPr>
        <w:t>同时承担工期违约的违约责任</w:t>
      </w:r>
      <w:r>
        <w:rPr>
          <w:color w:val="auto"/>
          <w:szCs w:val="21"/>
          <w:highlight w:val="none"/>
        </w:rPr>
        <w:t>。</w:t>
      </w:r>
    </w:p>
    <w:p>
      <w:pPr>
        <w:snapToGrid w:val="0"/>
        <w:spacing w:line="360" w:lineRule="auto"/>
        <w:ind w:firstLine="210"/>
        <w:rPr>
          <w:color w:val="auto"/>
          <w:szCs w:val="21"/>
          <w:highlight w:val="none"/>
        </w:rPr>
      </w:pPr>
      <w:r>
        <w:rPr>
          <w:rFonts w:hint="eastAsia"/>
          <w:color w:val="auto"/>
          <w:szCs w:val="21"/>
          <w:highlight w:val="none"/>
        </w:rPr>
        <w:t xml:space="preserve">  10.2未经甲方及丙、丁方同意，乙方不得擅自更改或换用投标产品的零部件或配件，否则，乙方承担由此发生的费用，并赔偿甲方及丙、丁方的有关损失，延误的供货日期不予顺延。</w:t>
      </w:r>
    </w:p>
    <w:p>
      <w:pPr>
        <w:snapToGrid w:val="0"/>
        <w:spacing w:line="360" w:lineRule="auto"/>
        <w:ind w:firstLine="210"/>
        <w:rPr>
          <w:b/>
          <w:color w:val="auto"/>
          <w:szCs w:val="21"/>
          <w:highlight w:val="none"/>
        </w:rPr>
      </w:pPr>
      <w:r>
        <w:rPr>
          <w:rFonts w:hint="eastAsia"/>
          <w:b/>
          <w:color w:val="auto"/>
          <w:szCs w:val="21"/>
          <w:highlight w:val="none"/>
        </w:rPr>
        <w:t xml:space="preserve">11、设备、材料检验 </w:t>
      </w:r>
    </w:p>
    <w:p>
      <w:pPr>
        <w:tabs>
          <w:tab w:val="left" w:pos="280"/>
        </w:tabs>
        <w:snapToGrid w:val="0"/>
        <w:spacing w:line="360" w:lineRule="auto"/>
        <w:ind w:firstLine="420" w:firstLineChars="200"/>
        <w:rPr>
          <w:color w:val="auto"/>
          <w:szCs w:val="21"/>
          <w:highlight w:val="none"/>
        </w:rPr>
      </w:pPr>
      <w:r>
        <w:rPr>
          <w:rFonts w:hint="eastAsia"/>
          <w:color w:val="auto"/>
          <w:szCs w:val="21"/>
          <w:highlight w:val="none"/>
        </w:rPr>
        <w:t>甲方及丙、丁方认为有必要在设备制造过程中派人到生产厂监制，乙方应予以积极配合并对监制或预验收工作提供方便并承担相关费用。</w:t>
      </w:r>
    </w:p>
    <w:p>
      <w:pPr>
        <w:tabs>
          <w:tab w:val="left" w:pos="280"/>
        </w:tabs>
        <w:snapToGrid w:val="0"/>
        <w:spacing w:line="360" w:lineRule="auto"/>
        <w:ind w:firstLine="420" w:firstLineChars="200"/>
        <w:rPr>
          <w:color w:val="auto"/>
          <w:szCs w:val="21"/>
          <w:highlight w:val="none"/>
        </w:rPr>
      </w:pPr>
      <w:r>
        <w:rPr>
          <w:rFonts w:hint="eastAsia"/>
          <w:color w:val="auto"/>
          <w:szCs w:val="21"/>
          <w:highlight w:val="none"/>
        </w:rPr>
        <w:t>在第一批设备供货之前，丙方将会同丁方、甲方、监理工程师等相关单位到乙方的设备制造厂进行样品审核，乙方应积极配合并对甲方及丙、丁方的工作提供方便并承担相关费用。</w:t>
      </w:r>
    </w:p>
    <w:p>
      <w:pPr>
        <w:pStyle w:val="2"/>
        <w:spacing w:line="360" w:lineRule="auto"/>
        <w:ind w:firstLineChars="200"/>
        <w:rPr>
          <w:color w:val="auto"/>
          <w:sz w:val="21"/>
          <w:szCs w:val="21"/>
          <w:highlight w:val="none"/>
        </w:rPr>
      </w:pPr>
      <w:r>
        <w:rPr>
          <w:rFonts w:hint="eastAsia"/>
          <w:color w:val="auto"/>
          <w:sz w:val="21"/>
          <w:szCs w:val="21"/>
          <w:highlight w:val="none"/>
        </w:rPr>
        <w:t>所有的货物备进场时须同时提供货物出厂合格证书、检测报告。国外生产的必须有合法的进货渠道证明，如海关报关单、原产地证明、商检证明等。</w:t>
      </w:r>
    </w:p>
    <w:p>
      <w:pPr>
        <w:pStyle w:val="64"/>
        <w:spacing w:line="360" w:lineRule="auto"/>
        <w:ind w:firstLine="420"/>
        <w:rPr>
          <w:rFonts w:ascii="宋体" w:eastAsia="宋体"/>
          <w:bCs w:val="0"/>
          <w:color w:val="auto"/>
          <w:sz w:val="21"/>
          <w:szCs w:val="21"/>
          <w:highlight w:val="none"/>
        </w:rPr>
      </w:pPr>
      <w:r>
        <w:rPr>
          <w:rFonts w:hint="eastAsia" w:ascii="宋体" w:eastAsia="宋体"/>
          <w:bCs w:val="0"/>
          <w:color w:val="auto"/>
          <w:sz w:val="21"/>
          <w:szCs w:val="21"/>
          <w:highlight w:val="none"/>
        </w:rPr>
        <w:t>隐蔽工程必须经监理检查、验收签证后，方可进行下一道工序。没有经过监理的批准，工程的任何部分均不得覆盖或使之无法查看。乙方应保证有充分的时间，对隐蔽或无法查看工程的任何部分进行检查或测量。</w:t>
      </w:r>
    </w:p>
    <w:p>
      <w:pPr>
        <w:adjustRightInd w:val="0"/>
        <w:spacing w:line="360" w:lineRule="auto"/>
        <w:ind w:firstLine="420" w:firstLineChars="200"/>
        <w:rPr>
          <w:color w:val="auto"/>
          <w:szCs w:val="21"/>
          <w:highlight w:val="none"/>
          <w:u w:val="single"/>
        </w:rPr>
      </w:pPr>
      <w:r>
        <w:rPr>
          <w:rFonts w:hint="eastAsia"/>
          <w:color w:val="auto"/>
          <w:szCs w:val="21"/>
          <w:highlight w:val="none"/>
        </w:rPr>
        <w:t>样品的报送与封存：需要乙方报送样品的材料或工程设备，样品的种类、名称、规格、数量要求：</w:t>
      </w:r>
      <w:r>
        <w:rPr>
          <w:rFonts w:hint="eastAsia"/>
          <w:color w:val="auto"/>
          <w:szCs w:val="21"/>
          <w:highlight w:val="none"/>
          <w:u w:val="single"/>
        </w:rPr>
        <w:t>以符合设计和规范要求为原则。a、一般材料由甲方及丙、丁方、监理看样认可后自行采购；主要设备应由甲方及丙、丁方和监理共同看样定货认可后采购。b 、所有材料必须有质保书和合格证，经认证许可，并符合施工图纸和规范要求，若材料质量不符合规定要求，乙方无条件退换并承担返工损失及工期、质量违约责任 。</w:t>
      </w:r>
    </w:p>
    <w:p>
      <w:pPr>
        <w:snapToGrid w:val="0"/>
        <w:spacing w:line="360" w:lineRule="auto"/>
        <w:ind w:firstLine="422" w:firstLineChars="200"/>
        <w:outlineLvl w:val="0"/>
        <w:rPr>
          <w:b/>
          <w:color w:val="auto"/>
          <w:szCs w:val="21"/>
          <w:highlight w:val="none"/>
        </w:rPr>
      </w:pPr>
      <w:bookmarkStart w:id="437" w:name="_Toc812"/>
      <w:r>
        <w:rPr>
          <w:rFonts w:hint="eastAsia"/>
          <w:b/>
          <w:color w:val="auto"/>
          <w:szCs w:val="21"/>
          <w:highlight w:val="none"/>
        </w:rPr>
        <w:t>12、设备的安装、调试</w:t>
      </w:r>
      <w:bookmarkEnd w:id="437"/>
    </w:p>
    <w:p>
      <w:pPr>
        <w:snapToGrid w:val="0"/>
        <w:spacing w:line="360" w:lineRule="auto"/>
        <w:ind w:firstLine="420" w:firstLineChars="200"/>
        <w:rPr>
          <w:color w:val="auto"/>
          <w:szCs w:val="21"/>
          <w:highlight w:val="none"/>
          <w:shd w:val="pct10" w:color="auto" w:fill="FFFFFF"/>
        </w:rPr>
      </w:pPr>
      <w:r>
        <w:rPr>
          <w:rFonts w:hint="eastAsia"/>
          <w:color w:val="auto"/>
          <w:szCs w:val="21"/>
          <w:highlight w:val="none"/>
        </w:rPr>
        <w:t>12.1合同所订的货物到达甲方及丙、丁方后，乙方应在收到甲方及丙、丁方通知后2天内，及时派人前往设备交货地点</w:t>
      </w:r>
      <w:r>
        <w:rPr>
          <w:rFonts w:hint="eastAsia"/>
          <w:bCs/>
          <w:color w:val="auto"/>
          <w:szCs w:val="21"/>
          <w:highlight w:val="none"/>
        </w:rPr>
        <w:t>对设备</w:t>
      </w:r>
      <w:r>
        <w:rPr>
          <w:rFonts w:hint="eastAsia"/>
          <w:color w:val="auto"/>
          <w:szCs w:val="21"/>
          <w:highlight w:val="none"/>
        </w:rPr>
        <w:t>进行安装调试。</w:t>
      </w:r>
    </w:p>
    <w:p>
      <w:pPr>
        <w:snapToGrid w:val="0"/>
        <w:spacing w:line="360" w:lineRule="auto"/>
        <w:ind w:firstLine="420" w:firstLineChars="200"/>
        <w:rPr>
          <w:color w:val="auto"/>
          <w:szCs w:val="21"/>
          <w:highlight w:val="none"/>
        </w:rPr>
      </w:pPr>
      <w:r>
        <w:rPr>
          <w:rFonts w:hint="eastAsia"/>
          <w:color w:val="auto"/>
          <w:szCs w:val="21"/>
          <w:highlight w:val="none"/>
        </w:rPr>
        <w:t>12.2乙方人员在甲方及丙、丁方进行指导安装及设备调试期间，所有费用由乙方负责。</w:t>
      </w:r>
    </w:p>
    <w:p>
      <w:pPr>
        <w:snapToGrid w:val="0"/>
        <w:spacing w:line="360" w:lineRule="auto"/>
        <w:ind w:firstLine="420" w:firstLineChars="200"/>
        <w:rPr>
          <w:color w:val="auto"/>
          <w:szCs w:val="21"/>
          <w:highlight w:val="none"/>
        </w:rPr>
      </w:pPr>
      <w:r>
        <w:rPr>
          <w:rFonts w:hint="eastAsia"/>
          <w:color w:val="auto"/>
          <w:szCs w:val="21"/>
          <w:highlight w:val="none"/>
        </w:rPr>
        <w:t>12.3乙方应在设备安装完毕后的5日内完成设备调试工作；调试完毕后须经过二个月的试运行。如因乙方责任而造成的延期，所有因安装延期而产生的费用由乙方负担并乙方应承担相应的违约责任。</w:t>
      </w:r>
    </w:p>
    <w:p>
      <w:pPr>
        <w:pStyle w:val="64"/>
        <w:spacing w:line="360" w:lineRule="auto"/>
        <w:ind w:firstLine="420"/>
        <w:rPr>
          <w:rFonts w:ascii="宋体" w:eastAsia="宋体"/>
          <w:color w:val="auto"/>
          <w:sz w:val="21"/>
          <w:szCs w:val="21"/>
          <w:highlight w:val="none"/>
        </w:rPr>
      </w:pPr>
      <w:r>
        <w:rPr>
          <w:rFonts w:hint="eastAsia" w:ascii="宋体" w:eastAsia="宋体"/>
          <w:color w:val="auto"/>
          <w:sz w:val="21"/>
          <w:szCs w:val="21"/>
          <w:highlight w:val="none"/>
        </w:rPr>
        <w:t>安装完毕后，乙方应派遣有经验的工程技术人员进行设备的调试及试运行，采购人可以要求乙方或具有检测资质的第三方用专用仪器进行测试，乙方应负责测试和调试所需的人员、工具、材料、仪器及检测费用等一切费用，并填写测试报告交由采购人存档。如需采购人派有关人员配合，乙方应在设备安装调试前一周提出需配合工作人员的工种、人数等计划书交与采购人，以便采购人提前作好准备，确保整个工程顺利进行。采购人组织相关专家进行验收，验收人员、会务等相关的一切费用，由乙方负责。</w:t>
      </w:r>
    </w:p>
    <w:p>
      <w:pPr>
        <w:spacing w:line="360" w:lineRule="auto"/>
        <w:ind w:left="210" w:leftChars="100"/>
        <w:rPr>
          <w:b/>
          <w:color w:val="auto"/>
          <w:szCs w:val="21"/>
          <w:highlight w:val="none"/>
        </w:rPr>
      </w:pPr>
      <w:r>
        <w:rPr>
          <w:rFonts w:hint="eastAsia"/>
          <w:b/>
          <w:color w:val="auto"/>
          <w:szCs w:val="21"/>
          <w:highlight w:val="none"/>
        </w:rPr>
        <w:t>13、设备验收</w:t>
      </w:r>
    </w:p>
    <w:p>
      <w:pPr>
        <w:snapToGrid w:val="0"/>
        <w:spacing w:line="360" w:lineRule="auto"/>
        <w:ind w:firstLine="420" w:firstLineChars="200"/>
        <w:rPr>
          <w:color w:val="auto"/>
          <w:szCs w:val="21"/>
          <w:highlight w:val="none"/>
        </w:rPr>
      </w:pPr>
      <w:r>
        <w:rPr>
          <w:rFonts w:hint="eastAsia"/>
          <w:color w:val="auto"/>
          <w:szCs w:val="21"/>
          <w:highlight w:val="none"/>
        </w:rPr>
        <w:t>13.1</w:t>
      </w:r>
      <w:r>
        <w:rPr>
          <w:rFonts w:hint="eastAsia"/>
          <w:bCs/>
          <w:color w:val="auto"/>
          <w:szCs w:val="21"/>
          <w:highlight w:val="none"/>
        </w:rPr>
        <w:t>乙方</w:t>
      </w:r>
      <w:r>
        <w:rPr>
          <w:rFonts w:hint="eastAsia"/>
          <w:color w:val="auto"/>
          <w:szCs w:val="21"/>
          <w:highlight w:val="none"/>
        </w:rPr>
        <w:t>在投标时应提供验收大纲和验收标准供甲方及丙、丁方参考，经甲方及丙、丁方确认后，作为验收的依据。</w:t>
      </w:r>
    </w:p>
    <w:p>
      <w:pPr>
        <w:snapToGrid w:val="0"/>
        <w:spacing w:line="360" w:lineRule="auto"/>
        <w:ind w:firstLine="420" w:firstLineChars="200"/>
        <w:rPr>
          <w:color w:val="auto"/>
          <w:szCs w:val="21"/>
          <w:highlight w:val="none"/>
        </w:rPr>
      </w:pPr>
      <w:r>
        <w:rPr>
          <w:rFonts w:hint="eastAsia"/>
          <w:color w:val="auto"/>
          <w:szCs w:val="21"/>
          <w:highlight w:val="none"/>
        </w:rPr>
        <w:t>13.2设备到达现场后，乙方派人到现场与甲方及丙、丁方一起开箱初步检收。乙方负责本合同项目所在地政府主管部门（技术质量监督局或卫生管理部门）的备案以及办理所需相关手续(如有)；本项目必须满足消防要求，最终应配合甲方及丙、丁方通过消防验收。如需整改，乙方必须按照消防部门要求整改并通过验收。</w:t>
      </w:r>
    </w:p>
    <w:p>
      <w:pPr>
        <w:snapToGrid w:val="0"/>
        <w:spacing w:line="360" w:lineRule="auto"/>
        <w:ind w:firstLine="420" w:firstLineChars="200"/>
        <w:rPr>
          <w:color w:val="auto"/>
          <w:szCs w:val="21"/>
          <w:highlight w:val="none"/>
        </w:rPr>
      </w:pPr>
      <w:r>
        <w:rPr>
          <w:rFonts w:hint="eastAsia"/>
          <w:color w:val="auto"/>
          <w:szCs w:val="21"/>
          <w:highlight w:val="none"/>
        </w:rPr>
        <w:t>13.3设备在安装、调试结束后，经过二个月的试运行考核无故障，甲乙丙丁方会同当地有关部门对设备共同进行验收，乙方自行承担第三方检验费用（第三方检测单位须甲方及丙方及相关验收主管部门认可）。达到验收标准后，甲方及丙方在验收合格后七日内完成设备交接，并在《产品交付报告》上签字。《产品交付报告》一式两份，双方各执一份。同时乙方向甲方及丙方提供《设备合格证》、《设备使用说明书》、《检验报告》等技术文件。</w:t>
      </w:r>
    </w:p>
    <w:p>
      <w:pPr>
        <w:snapToGrid w:val="0"/>
        <w:spacing w:line="360" w:lineRule="auto"/>
        <w:ind w:firstLine="422" w:firstLineChars="200"/>
        <w:outlineLvl w:val="0"/>
        <w:rPr>
          <w:b/>
          <w:color w:val="auto"/>
          <w:szCs w:val="21"/>
          <w:highlight w:val="none"/>
        </w:rPr>
      </w:pPr>
      <w:bookmarkStart w:id="438" w:name="_Toc8150"/>
      <w:r>
        <w:rPr>
          <w:rFonts w:hint="eastAsia"/>
          <w:b/>
          <w:color w:val="auto"/>
          <w:szCs w:val="21"/>
          <w:highlight w:val="none"/>
        </w:rPr>
        <w:t>14、质保及维修</w:t>
      </w:r>
      <w:bookmarkEnd w:id="438"/>
    </w:p>
    <w:p>
      <w:pPr>
        <w:snapToGrid w:val="0"/>
        <w:spacing w:line="360" w:lineRule="auto"/>
        <w:ind w:firstLine="420" w:firstLineChars="200"/>
        <w:rPr>
          <w:color w:val="auto"/>
          <w:szCs w:val="21"/>
          <w:highlight w:val="none"/>
        </w:rPr>
      </w:pPr>
      <w:r>
        <w:rPr>
          <w:rFonts w:hint="eastAsia"/>
          <w:color w:val="auto"/>
          <w:szCs w:val="21"/>
          <w:highlight w:val="none"/>
        </w:rPr>
        <w:t>14.1设备质</w:t>
      </w:r>
      <w:r>
        <w:rPr>
          <w:rFonts w:hint="eastAsia"/>
          <w:b/>
          <w:bCs/>
          <w:color w:val="auto"/>
          <w:szCs w:val="21"/>
          <w:highlight w:val="none"/>
        </w:rPr>
        <w:t>量保证期为使用产品之日起至少</w:t>
      </w:r>
      <w:r>
        <w:rPr>
          <w:rFonts w:hint="eastAsia"/>
          <w:b/>
          <w:bCs/>
          <w:color w:val="auto"/>
          <w:szCs w:val="21"/>
          <w:highlight w:val="none"/>
          <w:u w:val="single"/>
        </w:rPr>
        <w:t>36个月</w:t>
      </w:r>
      <w:r>
        <w:rPr>
          <w:rFonts w:hint="eastAsia" w:ascii="宋体" w:hAnsi="宋体" w:cs="宋体"/>
          <w:b/>
          <w:bCs/>
          <w:color w:val="auto"/>
          <w:szCs w:val="21"/>
          <w:highlight w:val="none"/>
          <w:u w:val="single"/>
        </w:rPr>
        <w:t>（具体时间以投标文件为准）</w:t>
      </w:r>
      <w:r>
        <w:rPr>
          <w:rFonts w:hint="eastAsia"/>
          <w:color w:val="auto"/>
          <w:szCs w:val="21"/>
          <w:highlight w:val="none"/>
        </w:rPr>
        <w:t>。质保期内如无问题，则在质保期满时，由甲方及丙、丁方提交质保期验收报告，验收由甲方及丙、丁方签字认可。</w:t>
      </w:r>
    </w:p>
    <w:p>
      <w:pPr>
        <w:snapToGrid w:val="0"/>
        <w:spacing w:line="360" w:lineRule="auto"/>
        <w:ind w:firstLine="420" w:firstLineChars="200"/>
        <w:rPr>
          <w:color w:val="auto"/>
          <w:szCs w:val="21"/>
          <w:highlight w:val="none"/>
        </w:rPr>
      </w:pPr>
      <w:r>
        <w:rPr>
          <w:rFonts w:hint="eastAsia"/>
          <w:color w:val="auto"/>
          <w:szCs w:val="21"/>
          <w:highlight w:val="none"/>
        </w:rPr>
        <w:t>14.2在设备质保期内，因设备本身的缺陷导致各种故障，乙方应负责免费更换产品，提供技术服务和指导设备维修，更换后的产品的质量保证期为</w:t>
      </w:r>
      <w:r>
        <w:rPr>
          <w:rFonts w:hint="eastAsia"/>
          <w:bCs/>
          <w:color w:val="auto"/>
          <w:szCs w:val="21"/>
          <w:highlight w:val="none"/>
        </w:rPr>
        <w:t>更换后的产品</w:t>
      </w:r>
      <w:r>
        <w:rPr>
          <w:rFonts w:hint="eastAsia"/>
          <w:color w:val="auto"/>
          <w:szCs w:val="21"/>
          <w:highlight w:val="none"/>
        </w:rPr>
        <w:t>使用之日起至少</w:t>
      </w:r>
      <w:r>
        <w:rPr>
          <w:rFonts w:hint="eastAsia"/>
          <w:b/>
          <w:color w:val="auto"/>
          <w:szCs w:val="21"/>
          <w:highlight w:val="none"/>
          <w:u w:val="single"/>
        </w:rPr>
        <w:t>36</w:t>
      </w:r>
      <w:r>
        <w:rPr>
          <w:rFonts w:hint="eastAsia"/>
          <w:bCs/>
          <w:color w:val="auto"/>
          <w:szCs w:val="21"/>
          <w:highlight w:val="none"/>
          <w:u w:val="single"/>
        </w:rPr>
        <w:t>个月</w:t>
      </w:r>
      <w:r>
        <w:rPr>
          <w:rFonts w:hint="eastAsia" w:ascii="宋体" w:hAnsi="宋体" w:cs="宋体"/>
          <w:b/>
          <w:bCs/>
          <w:color w:val="auto"/>
          <w:szCs w:val="21"/>
          <w:highlight w:val="none"/>
          <w:u w:val="single"/>
        </w:rPr>
        <w:t>（具体时间以投标文件为准）</w:t>
      </w:r>
      <w:r>
        <w:rPr>
          <w:rFonts w:hint="eastAsia"/>
          <w:bCs/>
          <w:color w:val="auto"/>
          <w:szCs w:val="21"/>
          <w:highlight w:val="none"/>
        </w:rPr>
        <w:t>。</w:t>
      </w:r>
    </w:p>
    <w:p>
      <w:pPr>
        <w:snapToGrid w:val="0"/>
        <w:spacing w:line="360" w:lineRule="auto"/>
        <w:ind w:firstLine="420" w:firstLineChars="200"/>
        <w:rPr>
          <w:color w:val="auto"/>
          <w:szCs w:val="21"/>
          <w:highlight w:val="none"/>
        </w:rPr>
      </w:pPr>
      <w:r>
        <w:rPr>
          <w:rFonts w:hint="eastAsia"/>
          <w:color w:val="auto"/>
          <w:szCs w:val="21"/>
          <w:highlight w:val="none"/>
        </w:rPr>
        <w:t>14.3如设备在质保期后发生故障，乙方在收到甲方及丙、丁方的书面维修通知后，应</w:t>
      </w:r>
      <w:r>
        <w:rPr>
          <w:rFonts w:hint="eastAsia"/>
          <w:b/>
          <w:bCs/>
          <w:color w:val="auto"/>
          <w:szCs w:val="21"/>
          <w:highlight w:val="none"/>
        </w:rPr>
        <w:t>即时给予响应。在质保期内的工作应包括对所有设备</w:t>
      </w:r>
      <w:r>
        <w:rPr>
          <w:rFonts w:hint="eastAsia"/>
          <w:bCs/>
          <w:color w:val="auto"/>
          <w:szCs w:val="21"/>
          <w:highlight w:val="none"/>
          <w:u w:val="thick"/>
        </w:rPr>
        <w:t>每月至少1次</w:t>
      </w:r>
      <w:r>
        <w:rPr>
          <w:rFonts w:hint="eastAsia"/>
          <w:bCs/>
          <w:color w:val="auto"/>
          <w:szCs w:val="21"/>
          <w:highlight w:val="none"/>
        </w:rPr>
        <w:t>的</w:t>
      </w:r>
      <w:r>
        <w:rPr>
          <w:rFonts w:hint="eastAsia"/>
          <w:color w:val="auto"/>
          <w:szCs w:val="21"/>
          <w:highlight w:val="none"/>
        </w:rPr>
        <w:t>常规检查、调整和润滑。</w:t>
      </w:r>
    </w:p>
    <w:p>
      <w:pPr>
        <w:snapToGrid w:val="0"/>
        <w:spacing w:line="360" w:lineRule="auto"/>
        <w:ind w:firstLine="420" w:firstLineChars="200"/>
        <w:rPr>
          <w:color w:val="auto"/>
          <w:szCs w:val="21"/>
          <w:highlight w:val="none"/>
        </w:rPr>
      </w:pPr>
      <w:r>
        <w:rPr>
          <w:rFonts w:hint="eastAsia"/>
          <w:color w:val="auto"/>
          <w:szCs w:val="21"/>
          <w:highlight w:val="none"/>
        </w:rPr>
        <w:t>14.4乙方在投标文件中所承诺的辅材、配件价格及保修期外的保修年费及服务方案做为合同的一部分。</w:t>
      </w:r>
    </w:p>
    <w:p>
      <w:pPr>
        <w:pStyle w:val="64"/>
        <w:spacing w:line="360" w:lineRule="auto"/>
        <w:ind w:firstLine="422"/>
        <w:rPr>
          <w:rFonts w:ascii="宋体" w:eastAsia="宋体"/>
          <w:b/>
          <w:color w:val="auto"/>
          <w:sz w:val="21"/>
          <w:szCs w:val="21"/>
          <w:highlight w:val="none"/>
        </w:rPr>
      </w:pPr>
      <w:r>
        <w:rPr>
          <w:rFonts w:hint="eastAsia" w:ascii="宋体" w:eastAsia="宋体"/>
          <w:b/>
          <w:color w:val="auto"/>
          <w:sz w:val="21"/>
          <w:szCs w:val="21"/>
          <w:highlight w:val="none"/>
        </w:rPr>
        <w:t>15安全要求：</w:t>
      </w:r>
    </w:p>
    <w:p>
      <w:pPr>
        <w:pStyle w:val="64"/>
        <w:spacing w:line="360" w:lineRule="auto"/>
        <w:ind w:firstLine="420"/>
        <w:rPr>
          <w:rFonts w:ascii="宋体" w:eastAsia="宋体"/>
          <w:color w:val="auto"/>
          <w:sz w:val="21"/>
          <w:szCs w:val="21"/>
          <w:highlight w:val="none"/>
        </w:rPr>
      </w:pPr>
      <w:r>
        <w:rPr>
          <w:rFonts w:hint="eastAsia" w:ascii="宋体" w:eastAsia="宋体"/>
          <w:color w:val="auto"/>
          <w:sz w:val="21"/>
          <w:szCs w:val="21"/>
          <w:highlight w:val="none"/>
        </w:rPr>
        <w:t>15.1乙方在实施作业期间，必须做好安全生产工作。实施过程中，必须严格按照安全程序进行，同时应做好加强安全教育和安全监督，确保不出现各类安全事故。接受行业监督人员依法实施的检查和监督，承包方在所属现场在施工期间，所发生的一切安全问题和治安问题由承包方负责。</w:t>
      </w:r>
    </w:p>
    <w:p>
      <w:pPr>
        <w:pStyle w:val="64"/>
        <w:spacing w:line="360" w:lineRule="auto"/>
        <w:ind w:firstLine="420"/>
        <w:rPr>
          <w:rFonts w:ascii="宋体" w:eastAsia="宋体"/>
          <w:color w:val="auto"/>
          <w:sz w:val="21"/>
          <w:szCs w:val="21"/>
          <w:highlight w:val="none"/>
        </w:rPr>
      </w:pPr>
      <w:r>
        <w:rPr>
          <w:rFonts w:hint="eastAsia" w:ascii="宋体" w:eastAsia="宋体"/>
          <w:color w:val="auto"/>
          <w:sz w:val="21"/>
          <w:szCs w:val="21"/>
          <w:highlight w:val="none"/>
        </w:rPr>
        <w:t>15.2乙方在实施过程中应采取必要的安全防护和消防措施，保障作业人员及出入施工现场人员的安全。乙方应为施工人员办理所需的工伤等保险，费用由乙方自行负责。</w:t>
      </w:r>
    </w:p>
    <w:p>
      <w:pPr>
        <w:pStyle w:val="64"/>
        <w:spacing w:line="360" w:lineRule="auto"/>
        <w:ind w:firstLine="420"/>
        <w:rPr>
          <w:rFonts w:ascii="宋体" w:eastAsia="宋体"/>
          <w:color w:val="auto"/>
          <w:sz w:val="21"/>
          <w:szCs w:val="21"/>
          <w:highlight w:val="none"/>
        </w:rPr>
      </w:pPr>
      <w:r>
        <w:rPr>
          <w:rFonts w:hint="eastAsia" w:ascii="宋体" w:eastAsia="宋体"/>
          <w:color w:val="auto"/>
          <w:sz w:val="21"/>
          <w:szCs w:val="21"/>
          <w:highlight w:val="none"/>
        </w:rPr>
        <w:t>15.3乙方在实施过程中如发生质量事故责任全部自行承担，及时报告甲方及丙、丁方。做到及时查清事故原因，分清事故责任，并采取有效的补救措施。一般质量事故的处理方案应送采购人共同研究实施；重大质量事故的处理按国家相关条例执行。</w:t>
      </w:r>
    </w:p>
    <w:p>
      <w:pPr>
        <w:pStyle w:val="64"/>
        <w:spacing w:line="360" w:lineRule="auto"/>
        <w:ind w:firstLine="420"/>
        <w:rPr>
          <w:rFonts w:ascii="宋体" w:eastAsia="宋体"/>
          <w:color w:val="auto"/>
          <w:sz w:val="21"/>
          <w:szCs w:val="21"/>
          <w:highlight w:val="none"/>
        </w:rPr>
      </w:pPr>
      <w:r>
        <w:rPr>
          <w:rFonts w:hint="eastAsia" w:ascii="宋体" w:eastAsia="宋体"/>
          <w:color w:val="auto"/>
          <w:sz w:val="21"/>
          <w:szCs w:val="21"/>
          <w:highlight w:val="none"/>
        </w:rPr>
        <w:t>15.4本项目实施过程中出现的作业人员或因承包人原因引起的第三方人员、财务损失，造成的责任和因此发生的费用，由乙方承担。</w:t>
      </w:r>
    </w:p>
    <w:p>
      <w:pPr>
        <w:pStyle w:val="64"/>
        <w:spacing w:line="360" w:lineRule="auto"/>
        <w:ind w:firstLine="420"/>
        <w:rPr>
          <w:rFonts w:ascii="宋体" w:eastAsia="宋体"/>
          <w:color w:val="auto"/>
          <w:sz w:val="21"/>
          <w:szCs w:val="21"/>
          <w:highlight w:val="none"/>
        </w:rPr>
      </w:pPr>
      <w:r>
        <w:rPr>
          <w:rFonts w:hint="eastAsia" w:ascii="宋体" w:eastAsia="宋体"/>
          <w:color w:val="auto"/>
          <w:sz w:val="21"/>
          <w:szCs w:val="21"/>
          <w:highlight w:val="none"/>
        </w:rPr>
        <w:t>15.5本项目实施过程中，由乙方引起的管线、线路等损坏由乙方承担相应的责任和损失。</w:t>
      </w:r>
    </w:p>
    <w:p>
      <w:pPr>
        <w:snapToGrid w:val="0"/>
        <w:spacing w:line="360" w:lineRule="auto"/>
        <w:ind w:firstLine="422" w:firstLineChars="200"/>
        <w:outlineLvl w:val="0"/>
        <w:rPr>
          <w:b/>
          <w:color w:val="auto"/>
          <w:szCs w:val="21"/>
          <w:highlight w:val="none"/>
        </w:rPr>
      </w:pPr>
      <w:bookmarkStart w:id="439" w:name="_Toc10358"/>
      <w:r>
        <w:rPr>
          <w:rFonts w:hint="eastAsia"/>
          <w:b/>
          <w:color w:val="auto"/>
          <w:szCs w:val="21"/>
          <w:highlight w:val="none"/>
        </w:rPr>
        <w:t>16、违约责任</w:t>
      </w:r>
      <w:bookmarkEnd w:id="439"/>
    </w:p>
    <w:p>
      <w:pPr>
        <w:snapToGrid w:val="0"/>
        <w:spacing w:line="360" w:lineRule="auto"/>
        <w:ind w:firstLine="420" w:firstLineChars="200"/>
        <w:rPr>
          <w:strike/>
          <w:color w:val="auto"/>
          <w:szCs w:val="21"/>
          <w:highlight w:val="none"/>
        </w:rPr>
      </w:pPr>
      <w:r>
        <w:rPr>
          <w:rFonts w:hint="eastAsia"/>
          <w:color w:val="auto"/>
          <w:szCs w:val="21"/>
          <w:highlight w:val="none"/>
        </w:rPr>
        <w:t>16.1合同约定工期节点的，每逾期一天，乙方按2000.00元/天向丙方支付违约金；逾期超过 30天的，甲方及丙、丁方</w:t>
      </w:r>
      <w:r>
        <w:rPr>
          <w:rFonts w:hint="eastAsia" w:ascii="宋体" w:hAnsi="宋体" w:cs="宋体"/>
          <w:color w:val="auto"/>
          <w:szCs w:val="21"/>
          <w:highlight w:val="none"/>
        </w:rPr>
        <w:t>协商一致后</w:t>
      </w:r>
      <w:r>
        <w:rPr>
          <w:rFonts w:hint="eastAsia"/>
          <w:color w:val="auto"/>
          <w:szCs w:val="21"/>
          <w:highlight w:val="none"/>
        </w:rPr>
        <w:t>有权解除合同</w:t>
      </w:r>
      <w:r>
        <w:rPr>
          <w:color w:val="auto"/>
          <w:szCs w:val="21"/>
          <w:highlight w:val="none"/>
        </w:rPr>
        <w:t>、</w:t>
      </w:r>
      <w:r>
        <w:rPr>
          <w:rFonts w:hint="eastAsia" w:ascii="宋体" w:hAnsi="宋体" w:cs="宋体"/>
          <w:color w:val="auto"/>
          <w:szCs w:val="21"/>
          <w:highlight w:val="none"/>
        </w:rPr>
        <w:t>甲方</w:t>
      </w:r>
      <w:r>
        <w:rPr>
          <w:rFonts w:hint="eastAsia"/>
          <w:color w:val="auto"/>
          <w:szCs w:val="21"/>
          <w:highlight w:val="none"/>
        </w:rPr>
        <w:t>没收全部的履约保证金并乙方承担所有的违约责任并承担由此造成的甲方及丙、丁方的全部损失。</w:t>
      </w:r>
      <w:r>
        <w:rPr>
          <w:rFonts w:hint="eastAsia"/>
          <w:strike/>
          <w:color w:val="auto"/>
          <w:szCs w:val="21"/>
          <w:highlight w:val="none"/>
        </w:rPr>
        <w:t>乙方</w:t>
      </w:r>
      <w:r>
        <w:rPr>
          <w:rFonts w:hint="eastAsia"/>
          <w:bCs/>
          <w:strike/>
          <w:color w:val="auto"/>
          <w:szCs w:val="21"/>
          <w:highlight w:val="none"/>
        </w:rPr>
        <w:t>总工期超</w:t>
      </w:r>
      <w:r>
        <w:rPr>
          <w:rFonts w:hint="eastAsia"/>
          <w:strike/>
          <w:color w:val="auto"/>
          <w:szCs w:val="21"/>
          <w:highlight w:val="none"/>
        </w:rPr>
        <w:t>过本合同约定期限的，按照逾期交货承担违约责任。</w:t>
      </w:r>
    </w:p>
    <w:p>
      <w:pPr>
        <w:snapToGrid w:val="0"/>
        <w:spacing w:line="360" w:lineRule="auto"/>
        <w:ind w:firstLine="420" w:firstLineChars="200"/>
        <w:rPr>
          <w:color w:val="auto"/>
          <w:szCs w:val="21"/>
          <w:highlight w:val="none"/>
        </w:rPr>
      </w:pPr>
      <w:r>
        <w:rPr>
          <w:rFonts w:hint="eastAsia"/>
          <w:color w:val="auto"/>
          <w:szCs w:val="21"/>
          <w:highlight w:val="none"/>
        </w:rPr>
        <w:t>16.2乙方交付的货品不能满足招标文件及合同主要技术标准及质量要求的，应按照要求更换、重做、修理直至按照甲方及丙、丁方的要求退货并每发生一次</w:t>
      </w:r>
      <w:r>
        <w:rPr>
          <w:color w:val="auto"/>
          <w:szCs w:val="21"/>
          <w:highlight w:val="none"/>
        </w:rPr>
        <w:t>，</w:t>
      </w:r>
      <w:r>
        <w:rPr>
          <w:rFonts w:hint="eastAsia"/>
          <w:color w:val="auto"/>
          <w:szCs w:val="21"/>
          <w:highlight w:val="none"/>
        </w:rPr>
        <w:t>乙方应向丙方支付违约金元，累计发生次</w:t>
      </w:r>
      <w:r>
        <w:rPr>
          <w:color w:val="auto"/>
          <w:szCs w:val="21"/>
          <w:highlight w:val="none"/>
        </w:rPr>
        <w:t>（</w:t>
      </w:r>
      <w:r>
        <w:rPr>
          <w:rFonts w:hint="eastAsia"/>
          <w:color w:val="auto"/>
          <w:szCs w:val="21"/>
          <w:highlight w:val="none"/>
        </w:rPr>
        <w:t>含</w:t>
      </w:r>
      <w:r>
        <w:rPr>
          <w:color w:val="auto"/>
          <w:szCs w:val="21"/>
          <w:highlight w:val="none"/>
        </w:rPr>
        <w:t>）</w:t>
      </w:r>
      <w:r>
        <w:rPr>
          <w:rFonts w:hint="eastAsia"/>
          <w:color w:val="auto"/>
          <w:szCs w:val="21"/>
          <w:highlight w:val="none"/>
        </w:rPr>
        <w:t>以上的</w:t>
      </w:r>
      <w:r>
        <w:rPr>
          <w:color w:val="auto"/>
          <w:szCs w:val="21"/>
          <w:highlight w:val="none"/>
        </w:rPr>
        <w:t>，</w:t>
      </w:r>
      <w:r>
        <w:rPr>
          <w:rFonts w:hint="eastAsia"/>
          <w:color w:val="auto"/>
          <w:szCs w:val="21"/>
          <w:highlight w:val="none"/>
        </w:rPr>
        <w:t>甲方</w:t>
      </w:r>
      <w:r>
        <w:rPr>
          <w:color w:val="auto"/>
          <w:szCs w:val="21"/>
          <w:highlight w:val="none"/>
        </w:rPr>
        <w:t>、</w:t>
      </w:r>
      <w:r>
        <w:rPr>
          <w:rFonts w:hint="eastAsia"/>
          <w:color w:val="auto"/>
          <w:szCs w:val="21"/>
          <w:highlight w:val="none"/>
        </w:rPr>
        <w:t>丙、丁方有权解除本合同</w:t>
      </w:r>
      <w:r>
        <w:rPr>
          <w:color w:val="auto"/>
          <w:szCs w:val="21"/>
          <w:highlight w:val="none"/>
        </w:rPr>
        <w:t>、</w:t>
      </w:r>
      <w:r>
        <w:rPr>
          <w:rFonts w:hint="eastAsia"/>
          <w:b/>
          <w:bCs/>
          <w:color w:val="auto"/>
          <w:szCs w:val="21"/>
          <w:highlight w:val="none"/>
        </w:rPr>
        <w:t>甲方有权没</w:t>
      </w:r>
      <w:r>
        <w:rPr>
          <w:rFonts w:hint="eastAsia"/>
          <w:color w:val="auto"/>
          <w:szCs w:val="21"/>
          <w:highlight w:val="none"/>
        </w:rPr>
        <w:t>收全部的履约保证金</w:t>
      </w:r>
      <w:r>
        <w:rPr>
          <w:color w:val="auto"/>
          <w:szCs w:val="21"/>
          <w:highlight w:val="none"/>
        </w:rPr>
        <w:t>，</w:t>
      </w:r>
      <w:r>
        <w:rPr>
          <w:rFonts w:hint="eastAsia"/>
          <w:color w:val="auto"/>
          <w:szCs w:val="21"/>
          <w:highlight w:val="none"/>
        </w:rPr>
        <w:t>乙方承担全部的违约责任并乙方应承担因此造成的甲方及丙、丁方的所有损失</w:t>
      </w:r>
      <w:r>
        <w:rPr>
          <w:color w:val="auto"/>
          <w:szCs w:val="21"/>
          <w:highlight w:val="none"/>
        </w:rPr>
        <w:t>。</w:t>
      </w:r>
      <w:r>
        <w:rPr>
          <w:rFonts w:hint="eastAsia"/>
          <w:color w:val="auto"/>
          <w:szCs w:val="21"/>
          <w:highlight w:val="none"/>
        </w:rPr>
        <w:t>因此造成交货逾期的，每逾期一天，乙方按2000.00元/天向丙方支付违约金；逾期超过30天的，甲方及丙、丁方有权解除合同，要求乙方退还已收款项并向丙方支付本合同总价款5％的违约金。</w:t>
      </w:r>
    </w:p>
    <w:p>
      <w:pPr>
        <w:snapToGrid w:val="0"/>
        <w:spacing w:line="360" w:lineRule="auto"/>
        <w:ind w:firstLine="420" w:firstLineChars="200"/>
        <w:rPr>
          <w:color w:val="auto"/>
          <w:szCs w:val="21"/>
          <w:highlight w:val="none"/>
        </w:rPr>
      </w:pPr>
      <w:r>
        <w:rPr>
          <w:rFonts w:hint="eastAsia"/>
          <w:color w:val="auto"/>
          <w:szCs w:val="21"/>
          <w:highlight w:val="none"/>
        </w:rPr>
        <w:t>16.3乙方接受甲方及丙、丁方对供货期调整的要求，具体方式为：甲方及丙、丁方提前十五天发出有甲方及丙、丁方代表签发的书面通知，乙方进行书面确认后即可执行</w:t>
      </w:r>
      <w:r>
        <w:rPr>
          <w:rFonts w:hint="eastAsia"/>
          <w:bCs/>
          <w:color w:val="auto"/>
          <w:szCs w:val="21"/>
          <w:highlight w:val="none"/>
        </w:rPr>
        <w:t>，</w:t>
      </w:r>
      <w:r>
        <w:rPr>
          <w:rFonts w:hint="eastAsia"/>
          <w:color w:val="auto"/>
          <w:szCs w:val="21"/>
          <w:highlight w:val="none"/>
        </w:rPr>
        <w:t>对此甲方及丙、丁方不承担违约责任。</w:t>
      </w:r>
    </w:p>
    <w:p>
      <w:pPr>
        <w:widowControl/>
        <w:spacing w:line="360" w:lineRule="auto"/>
        <w:ind w:firstLine="210"/>
        <w:rPr>
          <w:color w:val="auto"/>
          <w:szCs w:val="21"/>
          <w:highlight w:val="none"/>
        </w:rPr>
      </w:pPr>
      <w:r>
        <w:rPr>
          <w:rFonts w:hint="eastAsia"/>
          <w:color w:val="auto"/>
          <w:szCs w:val="21"/>
          <w:highlight w:val="none"/>
        </w:rPr>
        <w:t xml:space="preserve">  16.4如果乙方对本合同的执行敷衍了事，或忽视履行本合同约定的乙方任何工作及责任，而且从</w:t>
      </w:r>
      <w:r>
        <w:rPr>
          <w:rFonts w:hint="eastAsia"/>
          <w:bCs/>
          <w:color w:val="auto"/>
          <w:szCs w:val="21"/>
          <w:highlight w:val="none"/>
        </w:rPr>
        <w:t>甲方及丙方发出</w:t>
      </w:r>
      <w:r>
        <w:rPr>
          <w:rFonts w:hint="eastAsia"/>
          <w:color w:val="auto"/>
          <w:szCs w:val="21"/>
          <w:highlight w:val="none"/>
        </w:rPr>
        <w:t>书面要求其改正之日起30日内仍未采取有效措施并体现效果的，甲方及丙、丁方有权解除本合同，并书面通知乙方，由此造成的经济损失，甲方及丙、丁方有权在给乙方的任何款项中先行提取补偿，不足部分乙方仍应予以赔偿。</w:t>
      </w:r>
    </w:p>
    <w:p>
      <w:pPr>
        <w:snapToGrid w:val="0"/>
        <w:spacing w:line="360" w:lineRule="auto"/>
        <w:ind w:firstLine="420" w:firstLineChars="200"/>
        <w:rPr>
          <w:color w:val="auto"/>
          <w:szCs w:val="21"/>
          <w:highlight w:val="none"/>
        </w:rPr>
      </w:pPr>
      <w:r>
        <w:rPr>
          <w:rFonts w:hint="eastAsia"/>
          <w:color w:val="auto"/>
          <w:szCs w:val="21"/>
          <w:highlight w:val="none"/>
        </w:rPr>
        <w:t>16.5因乙方原因解除本合同时，乙方应向丙方支付签约合同价款</w:t>
      </w:r>
      <w:r>
        <w:rPr>
          <w:rFonts w:hint="eastAsia"/>
          <w:bCs/>
          <w:color w:val="auto"/>
          <w:szCs w:val="21"/>
          <w:highlight w:val="none"/>
        </w:rPr>
        <w:t>20</w:t>
      </w:r>
      <w:r>
        <w:rPr>
          <w:rFonts w:hint="eastAsia"/>
          <w:color w:val="auto"/>
          <w:szCs w:val="21"/>
          <w:highlight w:val="none"/>
        </w:rPr>
        <w:t>%的违约金，且甲方及丙、丁方有权决定是否接受属于乙方在现场的一切设施、设备、材料使用于本工程，并乙方应承担由此造成的甲方及丙、丁方的全部损失。</w:t>
      </w:r>
    </w:p>
    <w:p>
      <w:pPr>
        <w:snapToGrid w:val="0"/>
        <w:spacing w:line="360" w:lineRule="auto"/>
        <w:ind w:firstLine="420" w:firstLineChars="200"/>
        <w:rPr>
          <w:color w:val="auto"/>
          <w:szCs w:val="21"/>
          <w:highlight w:val="none"/>
        </w:rPr>
      </w:pPr>
      <w:r>
        <w:rPr>
          <w:rFonts w:hint="eastAsia"/>
          <w:color w:val="auto"/>
          <w:szCs w:val="21"/>
          <w:highlight w:val="none"/>
        </w:rPr>
        <w:t>16 .6未经甲方及丙、丁方书面同意，乙方将本合同的权利、义务以任何形式全部或部分让与他人的，甲方及丙、丁方有权解除本合同</w:t>
      </w:r>
      <w:r>
        <w:rPr>
          <w:color w:val="auto"/>
          <w:szCs w:val="21"/>
          <w:highlight w:val="none"/>
        </w:rPr>
        <w:t>、</w:t>
      </w:r>
      <w:r>
        <w:rPr>
          <w:rFonts w:hint="eastAsia"/>
          <w:color w:val="auto"/>
          <w:szCs w:val="21"/>
          <w:highlight w:val="none"/>
        </w:rPr>
        <w:t>没收全部的履约保证金</w:t>
      </w:r>
      <w:r>
        <w:rPr>
          <w:color w:val="auto"/>
          <w:szCs w:val="21"/>
          <w:highlight w:val="none"/>
        </w:rPr>
        <w:t>，</w:t>
      </w:r>
      <w:r>
        <w:rPr>
          <w:rFonts w:hint="eastAsia"/>
          <w:color w:val="auto"/>
          <w:szCs w:val="21"/>
          <w:highlight w:val="none"/>
        </w:rPr>
        <w:t>乙方应按照本合同价款总额的</w:t>
      </w:r>
      <w:r>
        <w:rPr>
          <w:rFonts w:hint="eastAsia"/>
          <w:bCs/>
          <w:color w:val="auto"/>
          <w:szCs w:val="21"/>
          <w:highlight w:val="none"/>
        </w:rPr>
        <w:t>20</w:t>
      </w:r>
      <w:r>
        <w:rPr>
          <w:rFonts w:hint="eastAsia"/>
          <w:color w:val="auto"/>
          <w:szCs w:val="21"/>
          <w:highlight w:val="none"/>
        </w:rPr>
        <w:t>%向丙方支付违约金，并赔偿由此造成的甲方及丙、丁方的全部损失。</w:t>
      </w:r>
    </w:p>
    <w:p>
      <w:pPr>
        <w:snapToGrid w:val="0"/>
        <w:spacing w:line="360" w:lineRule="auto"/>
        <w:ind w:firstLine="420" w:firstLineChars="200"/>
        <w:rPr>
          <w:color w:val="auto"/>
          <w:szCs w:val="21"/>
          <w:highlight w:val="none"/>
        </w:rPr>
      </w:pPr>
      <w:r>
        <w:rPr>
          <w:rFonts w:hint="eastAsia"/>
          <w:color w:val="auto"/>
          <w:szCs w:val="21"/>
          <w:highlight w:val="none"/>
        </w:rPr>
        <w:t>16.7本合同中所有乙方应支付给丙方的违约金，乙方在收到书面通知后未及时支付的，甲方有权在收到丙方扣款通知后在应付乙方的任何款项中扣除后转交给丙方。</w:t>
      </w:r>
    </w:p>
    <w:p>
      <w:pPr>
        <w:pStyle w:val="2"/>
        <w:spacing w:line="360" w:lineRule="auto"/>
        <w:ind w:firstLineChars="200"/>
        <w:rPr>
          <w:color w:val="auto"/>
          <w:sz w:val="21"/>
          <w:szCs w:val="21"/>
          <w:highlight w:val="none"/>
        </w:rPr>
      </w:pPr>
      <w:r>
        <w:rPr>
          <w:rFonts w:hint="eastAsia"/>
          <w:color w:val="auto"/>
          <w:sz w:val="21"/>
          <w:szCs w:val="21"/>
          <w:highlight w:val="none"/>
        </w:rPr>
        <w:t>16.8因乙方原因延误工期给甲方造成损失的（包括但不限于直接损失与间接损失）均由乙方承担相应责任及费用，甲方有权从乙方工程款中扣除相应费用，不足部分甲方有权追偿。</w:t>
      </w:r>
    </w:p>
    <w:p>
      <w:pPr>
        <w:spacing w:line="360" w:lineRule="auto"/>
        <w:rPr>
          <w:color w:val="auto"/>
          <w:szCs w:val="21"/>
          <w:highlight w:val="none"/>
        </w:rPr>
      </w:pPr>
      <w:r>
        <w:rPr>
          <w:rFonts w:hint="eastAsia"/>
          <w:color w:val="auto"/>
          <w:szCs w:val="21"/>
          <w:highlight w:val="none"/>
        </w:rPr>
        <w:t xml:space="preserve">      16.9因乙方原因造成绍兴市妇幼保健院（绍兴市儿童医院）建设项目工程单项或整体验收不合格或未能通过“钱江杯”“鲁班奖”验收标准的，甲方有权没收乙方缴纳的履约保证金，同时由此产生的一切责任与费用均由乙方承担，甲方有权在乙方工程款中扣除相应费用，不足部分甲方有权追偿。</w:t>
      </w:r>
    </w:p>
    <w:p>
      <w:pPr>
        <w:snapToGrid w:val="0"/>
        <w:spacing w:line="360" w:lineRule="auto"/>
        <w:ind w:firstLine="420" w:firstLineChars="200"/>
        <w:outlineLvl w:val="0"/>
        <w:rPr>
          <w:color w:val="auto"/>
          <w:szCs w:val="21"/>
          <w:highlight w:val="none"/>
        </w:rPr>
      </w:pPr>
      <w:bookmarkStart w:id="440" w:name="_Toc18664"/>
      <w:r>
        <w:rPr>
          <w:rFonts w:hint="eastAsia"/>
          <w:color w:val="auto"/>
          <w:szCs w:val="21"/>
          <w:highlight w:val="none"/>
        </w:rPr>
        <w:t>17、其他</w:t>
      </w:r>
      <w:bookmarkEnd w:id="440"/>
    </w:p>
    <w:p>
      <w:pPr>
        <w:snapToGrid w:val="0"/>
        <w:spacing w:line="360" w:lineRule="auto"/>
        <w:ind w:firstLine="420" w:firstLineChars="200"/>
        <w:rPr>
          <w:color w:val="auto"/>
          <w:szCs w:val="21"/>
          <w:highlight w:val="none"/>
        </w:rPr>
      </w:pPr>
      <w:r>
        <w:rPr>
          <w:rFonts w:hint="eastAsia"/>
          <w:color w:val="auto"/>
          <w:szCs w:val="21"/>
          <w:highlight w:val="none"/>
        </w:rPr>
        <w:t>17.1乙方提出使用专利技术或特殊工艺，应取得甲方及丙、丁方和监理单位认可，乙方负责办理申报手续并承担有关费用。</w:t>
      </w:r>
    </w:p>
    <w:p>
      <w:pPr>
        <w:snapToGrid w:val="0"/>
        <w:spacing w:line="360" w:lineRule="auto"/>
        <w:ind w:firstLine="420" w:firstLineChars="200"/>
        <w:rPr>
          <w:color w:val="auto"/>
          <w:szCs w:val="21"/>
          <w:highlight w:val="none"/>
        </w:rPr>
      </w:pPr>
      <w:r>
        <w:rPr>
          <w:rFonts w:hint="eastAsia"/>
          <w:color w:val="auto"/>
          <w:szCs w:val="21"/>
          <w:highlight w:val="none"/>
        </w:rPr>
        <w:t>17.2乙方擅自使用专利技术侵犯他人专利权的因此产生的侵权纠纷</w:t>
      </w:r>
      <w:r>
        <w:rPr>
          <w:color w:val="auto"/>
          <w:szCs w:val="21"/>
          <w:highlight w:val="none"/>
        </w:rPr>
        <w:t>，</w:t>
      </w:r>
      <w:r>
        <w:rPr>
          <w:rFonts w:hint="eastAsia"/>
          <w:color w:val="auto"/>
          <w:szCs w:val="21"/>
          <w:highlight w:val="none"/>
        </w:rPr>
        <w:t>由乙方自行承担并每发生一次</w:t>
      </w:r>
      <w:r>
        <w:rPr>
          <w:color w:val="auto"/>
          <w:szCs w:val="21"/>
          <w:highlight w:val="none"/>
        </w:rPr>
        <w:t>，</w:t>
      </w:r>
      <w:r>
        <w:rPr>
          <w:rFonts w:hint="eastAsia"/>
          <w:color w:val="auto"/>
          <w:szCs w:val="21"/>
          <w:highlight w:val="none"/>
        </w:rPr>
        <w:t>乙方应向丙方支付违约金元，如造成甲方及丙、丁方损失的</w:t>
      </w:r>
      <w:r>
        <w:rPr>
          <w:color w:val="auto"/>
          <w:szCs w:val="21"/>
          <w:highlight w:val="none"/>
        </w:rPr>
        <w:t>，</w:t>
      </w:r>
      <w:r>
        <w:rPr>
          <w:rFonts w:hint="eastAsia"/>
          <w:color w:val="auto"/>
          <w:szCs w:val="21"/>
          <w:highlight w:val="none"/>
        </w:rPr>
        <w:t>甲方及丙、丁方有权全额向乙方追索且甲方及丙、丁方有权视情形解除本合同。</w:t>
      </w:r>
    </w:p>
    <w:p>
      <w:pPr>
        <w:pStyle w:val="2"/>
        <w:spacing w:line="360" w:lineRule="auto"/>
        <w:ind w:firstLine="422" w:firstLineChars="200"/>
        <w:rPr>
          <w:b/>
          <w:bCs/>
          <w:color w:val="auto"/>
          <w:sz w:val="21"/>
          <w:szCs w:val="21"/>
          <w:highlight w:val="none"/>
        </w:rPr>
      </w:pPr>
      <w:r>
        <w:rPr>
          <w:rFonts w:hint="eastAsia"/>
          <w:b/>
          <w:bCs/>
          <w:color w:val="auto"/>
          <w:sz w:val="21"/>
          <w:szCs w:val="21"/>
          <w:highlight w:val="none"/>
        </w:rPr>
        <w:t>特别注明：本项目所有涉及到的方案或者深化图纸及变更都需经丙、丁方书面确认并同意后实施，甲方单方面要求乙方的变更无效。</w:t>
      </w:r>
    </w:p>
    <w:p>
      <w:pPr>
        <w:snapToGrid w:val="0"/>
        <w:spacing w:line="360" w:lineRule="auto"/>
        <w:ind w:firstLine="422" w:firstLineChars="200"/>
        <w:rPr>
          <w:b/>
          <w:color w:val="auto"/>
          <w:szCs w:val="21"/>
          <w:highlight w:val="none"/>
        </w:rPr>
      </w:pPr>
      <w:r>
        <w:rPr>
          <w:rFonts w:hint="eastAsia"/>
          <w:b/>
          <w:color w:val="auto"/>
          <w:szCs w:val="21"/>
          <w:highlight w:val="none"/>
        </w:rPr>
        <w:t>18、售后服务</w:t>
      </w:r>
    </w:p>
    <w:p>
      <w:pPr>
        <w:snapToGrid w:val="0"/>
        <w:spacing w:line="360" w:lineRule="auto"/>
        <w:ind w:firstLine="420" w:firstLineChars="200"/>
        <w:rPr>
          <w:color w:val="auto"/>
          <w:szCs w:val="21"/>
          <w:highlight w:val="none"/>
        </w:rPr>
      </w:pPr>
      <w:r>
        <w:rPr>
          <w:rFonts w:hint="eastAsia"/>
          <w:color w:val="auto"/>
          <w:szCs w:val="21"/>
          <w:highlight w:val="none"/>
        </w:rPr>
        <w:t>18.1乙方应按法律、行政法规或国家关于设备质量保修的有关规定，对交付甲方及丙方使用的设备在质量保修期内承担质量保修责任。如乙方为联合体的，则应按照联合体成员各自承担的合同内容履行售后服务。</w:t>
      </w:r>
    </w:p>
    <w:p>
      <w:pPr>
        <w:snapToGrid w:val="0"/>
        <w:spacing w:line="360" w:lineRule="auto"/>
        <w:ind w:firstLine="420" w:firstLineChars="200"/>
        <w:rPr>
          <w:color w:val="auto"/>
          <w:szCs w:val="21"/>
          <w:highlight w:val="none"/>
        </w:rPr>
      </w:pPr>
      <w:r>
        <w:rPr>
          <w:rFonts w:hint="eastAsia"/>
          <w:color w:val="auto"/>
          <w:szCs w:val="21"/>
          <w:highlight w:val="none"/>
        </w:rPr>
        <w:t>18.2无论在质量保证期内还是质量保证期满后，一旦设备发生故障，而甲方及丙、丁方无法自行排除时，在接到甲方及丙方通知后，乙方须在甲方及丙、丁方书面通知后2小时内赶到现场维修并及时提供备品、备件，并于4小时内完成维修，质保期内乙方须安排专业维保人员驻场，驻场人员数量及资质须满足甲方及丙方需求并获得书面审批，人员未到场一天，扣500元/天，未能按要求完成修复的，扣 ？？？</w:t>
      </w:r>
      <w:r>
        <w:rPr>
          <w:color w:val="auto"/>
          <w:szCs w:val="21"/>
          <w:highlight w:val="none"/>
        </w:rPr>
        <w:t xml:space="preserve">   </w:t>
      </w:r>
      <w:r>
        <w:rPr>
          <w:rFonts w:hint="eastAsia"/>
          <w:color w:val="auto"/>
          <w:szCs w:val="21"/>
          <w:highlight w:val="none"/>
        </w:rPr>
        <w:t>元/天。</w:t>
      </w:r>
    </w:p>
    <w:p>
      <w:pPr>
        <w:snapToGrid w:val="0"/>
        <w:spacing w:line="360" w:lineRule="auto"/>
        <w:ind w:firstLine="420" w:firstLineChars="200"/>
        <w:rPr>
          <w:color w:val="auto"/>
          <w:szCs w:val="21"/>
          <w:highlight w:val="none"/>
        </w:rPr>
      </w:pPr>
      <w:r>
        <w:rPr>
          <w:rFonts w:hint="eastAsia"/>
          <w:color w:val="auto"/>
          <w:szCs w:val="21"/>
          <w:highlight w:val="none"/>
        </w:rPr>
        <w:t>18.3每个维修项目完成后，经甲方及丙方或设备管理方验收并签字后，方为该维修项目本次维修完毕。</w:t>
      </w:r>
    </w:p>
    <w:p>
      <w:pPr>
        <w:snapToGrid w:val="0"/>
        <w:spacing w:line="360" w:lineRule="auto"/>
        <w:ind w:firstLine="420" w:firstLineChars="200"/>
        <w:rPr>
          <w:color w:val="auto"/>
          <w:szCs w:val="21"/>
          <w:highlight w:val="none"/>
        </w:rPr>
      </w:pPr>
      <w:r>
        <w:rPr>
          <w:rFonts w:hint="eastAsia"/>
          <w:color w:val="auto"/>
          <w:szCs w:val="21"/>
          <w:highlight w:val="none"/>
        </w:rPr>
        <w:t>18.4乙方未按本合同约定到场维修或未按约定时间维修完毕的，甲方及丙、丁方有权委派他方处理，处理结果由甲方及丙、丁方或管理方签字认可后即生效，不再经由乙方确认（甲方及丙、丁方或管理方将处理情况通知乙方），因此所发生的一切费用从乙方保修款中扣除，不足扣除的，另行向乙方追偿。且乙方未能按售后服务要求提供服务的</w:t>
      </w:r>
      <w:r>
        <w:rPr>
          <w:color w:val="auto"/>
          <w:szCs w:val="21"/>
          <w:highlight w:val="none"/>
        </w:rPr>
        <w:t>，</w:t>
      </w:r>
      <w:r>
        <w:rPr>
          <w:rFonts w:hint="eastAsia"/>
          <w:color w:val="auto"/>
          <w:szCs w:val="21"/>
          <w:highlight w:val="none"/>
        </w:rPr>
        <w:t>每发生一次</w:t>
      </w:r>
      <w:r>
        <w:rPr>
          <w:color w:val="auto"/>
          <w:szCs w:val="21"/>
          <w:highlight w:val="none"/>
        </w:rPr>
        <w:t>，</w:t>
      </w:r>
      <w:r>
        <w:rPr>
          <w:rFonts w:hint="eastAsia"/>
          <w:color w:val="auto"/>
          <w:szCs w:val="21"/>
          <w:highlight w:val="none"/>
        </w:rPr>
        <w:t>乙方应向丙方支付违约金</w:t>
      </w:r>
      <w:r>
        <w:rPr>
          <w:color w:val="auto"/>
          <w:szCs w:val="21"/>
          <w:highlight w:val="none"/>
        </w:rPr>
        <w:t>1000</w:t>
      </w:r>
      <w:r>
        <w:rPr>
          <w:rFonts w:hint="eastAsia"/>
          <w:color w:val="auto"/>
          <w:szCs w:val="21"/>
          <w:highlight w:val="none"/>
        </w:rPr>
        <w:t>元。</w:t>
      </w:r>
    </w:p>
    <w:p>
      <w:pPr>
        <w:tabs>
          <w:tab w:val="left" w:pos="1800"/>
        </w:tabs>
        <w:spacing w:line="360" w:lineRule="auto"/>
        <w:ind w:left="210" w:leftChars="100"/>
        <w:rPr>
          <w:color w:val="auto"/>
          <w:szCs w:val="21"/>
          <w:highlight w:val="none"/>
        </w:rPr>
      </w:pPr>
      <w:bookmarkStart w:id="441" w:name="OLE_LINK6"/>
      <w:r>
        <w:rPr>
          <w:rFonts w:hint="eastAsia"/>
          <w:color w:val="auto"/>
          <w:szCs w:val="21"/>
          <w:highlight w:val="none"/>
        </w:rPr>
        <w:t xml:space="preserve">  18.5</w:t>
      </w:r>
      <w:bookmarkEnd w:id="441"/>
      <w:r>
        <w:rPr>
          <w:rFonts w:hint="eastAsia"/>
          <w:color w:val="auto"/>
          <w:szCs w:val="21"/>
          <w:highlight w:val="none"/>
        </w:rPr>
        <w:t>乙方承诺，无论以上质量缺陷属乙方、甲方及丙、丁方或其他方责任，在接到通知后，均遵守上述时间性要求不问理由地进行维修，并在维修过程中与甲方及丙、丁方及管理方共同取证，以判断责任原因，不属乙方责任的，由责任方向乙方支付材料及人工费用。</w:t>
      </w:r>
    </w:p>
    <w:p>
      <w:pPr>
        <w:tabs>
          <w:tab w:val="left" w:pos="1800"/>
        </w:tabs>
        <w:spacing w:line="360" w:lineRule="auto"/>
        <w:ind w:left="210" w:leftChars="100"/>
        <w:rPr>
          <w:color w:val="auto"/>
          <w:szCs w:val="21"/>
          <w:highlight w:val="none"/>
        </w:rPr>
      </w:pPr>
      <w:r>
        <w:rPr>
          <w:rFonts w:hint="eastAsia"/>
          <w:color w:val="auto"/>
          <w:szCs w:val="21"/>
          <w:highlight w:val="none"/>
        </w:rPr>
        <w:t xml:space="preserve">  18.6乙方免费培训甲方及丙方或甲方及丙方指定的操作、管理人员，经培训合格后能上岗操作。</w:t>
      </w:r>
    </w:p>
    <w:p>
      <w:pPr>
        <w:spacing w:line="360" w:lineRule="auto"/>
        <w:ind w:left="210" w:leftChars="100"/>
        <w:rPr>
          <w:b/>
          <w:bCs/>
          <w:color w:val="auto"/>
          <w:szCs w:val="21"/>
          <w:highlight w:val="none"/>
        </w:rPr>
      </w:pPr>
      <w:r>
        <w:rPr>
          <w:rFonts w:hint="eastAsia"/>
          <w:b/>
          <w:bCs/>
          <w:color w:val="auto"/>
          <w:szCs w:val="21"/>
          <w:highlight w:val="none"/>
        </w:rPr>
        <w:t xml:space="preserve"> 19.净化系统设备供货内容</w:t>
      </w:r>
    </w:p>
    <w:p>
      <w:pPr>
        <w:spacing w:line="360" w:lineRule="auto"/>
        <w:ind w:firstLine="420" w:firstLineChars="200"/>
        <w:rPr>
          <w:i/>
          <w:iCs/>
          <w:color w:val="auto"/>
          <w:szCs w:val="21"/>
          <w:highlight w:val="none"/>
        </w:rPr>
      </w:pPr>
      <w:r>
        <w:rPr>
          <w:rFonts w:hint="eastAsia"/>
          <w:color w:val="auto"/>
          <w:szCs w:val="21"/>
          <w:highlight w:val="none"/>
        </w:rPr>
        <w:t>19.1具体详见招标文件所附设备清单</w:t>
      </w:r>
    </w:p>
    <w:p>
      <w:pPr>
        <w:spacing w:line="360" w:lineRule="auto"/>
        <w:ind w:firstLine="210"/>
        <w:rPr>
          <w:color w:val="auto"/>
          <w:szCs w:val="21"/>
          <w:highlight w:val="none"/>
        </w:rPr>
      </w:pPr>
      <w:r>
        <w:rPr>
          <w:rFonts w:hint="eastAsia"/>
          <w:color w:val="auto"/>
          <w:szCs w:val="21"/>
          <w:highlight w:val="none"/>
        </w:rPr>
        <w:t xml:space="preserve">  19.2本合同价格包括净化系统设备的深化设计、制造、运输、安装</w:t>
      </w:r>
      <w:r>
        <w:rPr>
          <w:rFonts w:hint="eastAsia"/>
          <w:bCs/>
          <w:color w:val="auto"/>
          <w:szCs w:val="21"/>
          <w:highlight w:val="none"/>
        </w:rPr>
        <w:t>调试、试运行、</w:t>
      </w:r>
      <w:r>
        <w:rPr>
          <w:rFonts w:hint="eastAsia"/>
          <w:color w:val="auto"/>
          <w:szCs w:val="21"/>
          <w:highlight w:val="none"/>
        </w:rPr>
        <w:t>设备检测、验收、税金、保险等所有费用。</w:t>
      </w:r>
    </w:p>
    <w:p>
      <w:pPr>
        <w:pStyle w:val="8"/>
        <w:rPr>
          <w:color w:val="auto"/>
          <w:szCs w:val="21"/>
          <w:highlight w:val="none"/>
        </w:rPr>
      </w:pPr>
    </w:p>
    <w:p>
      <w:pPr>
        <w:rPr>
          <w:color w:val="auto"/>
          <w:szCs w:val="21"/>
          <w:highlight w:val="none"/>
        </w:rPr>
      </w:pPr>
    </w:p>
    <w:p>
      <w:pPr>
        <w:pStyle w:val="8"/>
        <w:rPr>
          <w:color w:val="auto"/>
          <w:szCs w:val="21"/>
          <w:highlight w:val="none"/>
        </w:rPr>
      </w:pPr>
    </w:p>
    <w:p>
      <w:pPr>
        <w:rPr>
          <w:color w:val="auto"/>
          <w:szCs w:val="21"/>
          <w:highlight w:val="none"/>
        </w:rPr>
      </w:pPr>
    </w:p>
    <w:p>
      <w:pPr>
        <w:pStyle w:val="8"/>
        <w:rPr>
          <w:color w:val="auto"/>
          <w:szCs w:val="21"/>
          <w:highlight w:val="none"/>
        </w:rPr>
      </w:pPr>
    </w:p>
    <w:p>
      <w:pPr>
        <w:rPr>
          <w:color w:val="auto"/>
          <w:szCs w:val="21"/>
          <w:highlight w:val="none"/>
        </w:rPr>
      </w:pPr>
    </w:p>
    <w:p>
      <w:pPr>
        <w:pStyle w:val="2"/>
        <w:rPr>
          <w:color w:val="auto"/>
          <w:szCs w:val="21"/>
          <w:highlight w:val="none"/>
        </w:rPr>
      </w:pPr>
    </w:p>
    <w:p>
      <w:pPr>
        <w:rPr>
          <w:color w:val="auto"/>
          <w:szCs w:val="21"/>
          <w:highlight w:val="none"/>
        </w:rPr>
      </w:pPr>
    </w:p>
    <w:p>
      <w:pPr>
        <w:pStyle w:val="2"/>
      </w:pPr>
    </w:p>
    <w:p>
      <w:pPr>
        <w:rPr>
          <w:color w:val="auto"/>
          <w:szCs w:val="21"/>
          <w:highlight w:val="none"/>
        </w:rPr>
      </w:pPr>
    </w:p>
    <w:p>
      <w:pPr>
        <w:rPr>
          <w:color w:val="auto"/>
          <w:highlight w:val="none"/>
        </w:rPr>
      </w:pPr>
    </w:p>
    <w:p>
      <w:pPr>
        <w:pStyle w:val="7"/>
        <w:adjustRightInd w:val="0"/>
        <w:ind w:firstLine="422"/>
        <w:textAlignment w:val="baseline"/>
        <w:rPr>
          <w:color w:val="auto"/>
          <w:spacing w:val="30"/>
          <w:szCs w:val="21"/>
          <w:highlight w:val="none"/>
        </w:rPr>
      </w:pPr>
      <w:r>
        <w:rPr>
          <w:rFonts w:hint="eastAsia"/>
          <w:color w:val="auto"/>
          <w:szCs w:val="21"/>
          <w:highlight w:val="none"/>
        </w:rPr>
        <w:t>附件1：廉政合同（格式）</w:t>
      </w:r>
    </w:p>
    <w:p>
      <w:pPr>
        <w:spacing w:line="360" w:lineRule="auto"/>
        <w:jc w:val="center"/>
        <w:rPr>
          <w:b/>
          <w:color w:val="auto"/>
          <w:szCs w:val="21"/>
          <w:highlight w:val="none"/>
        </w:rPr>
      </w:pPr>
      <w:r>
        <w:rPr>
          <w:rFonts w:hint="eastAsia"/>
          <w:b/>
          <w:color w:val="auto"/>
          <w:szCs w:val="21"/>
          <w:highlight w:val="none"/>
        </w:rPr>
        <w:t>廉政合同</w:t>
      </w:r>
    </w:p>
    <w:p>
      <w:pPr>
        <w:spacing w:line="360" w:lineRule="auto"/>
        <w:rPr>
          <w:color w:val="auto"/>
          <w:szCs w:val="21"/>
          <w:highlight w:val="none"/>
        </w:rPr>
      </w:pPr>
    </w:p>
    <w:p>
      <w:pPr>
        <w:spacing w:line="360" w:lineRule="auto"/>
        <w:rPr>
          <w:color w:val="auto"/>
          <w:szCs w:val="21"/>
          <w:highlight w:val="none"/>
        </w:rPr>
      </w:pPr>
      <w:r>
        <w:rPr>
          <w:rFonts w:hint="eastAsia"/>
          <w:color w:val="auto"/>
          <w:szCs w:val="21"/>
          <w:highlight w:val="none"/>
        </w:rPr>
        <w:t>甲方 ：浙江精工钢结构集团有限公司</w:t>
      </w:r>
    </w:p>
    <w:p>
      <w:pPr>
        <w:spacing w:line="360" w:lineRule="auto"/>
        <w:rPr>
          <w:color w:val="auto"/>
          <w:szCs w:val="21"/>
          <w:highlight w:val="none"/>
        </w:rPr>
      </w:pPr>
      <w:r>
        <w:rPr>
          <w:rFonts w:hint="eastAsia"/>
          <w:color w:val="auto"/>
          <w:szCs w:val="21"/>
          <w:highlight w:val="none"/>
        </w:rPr>
        <w:t xml:space="preserve">乙方 ：                         （中标单位） </w:t>
      </w:r>
    </w:p>
    <w:p>
      <w:pPr>
        <w:spacing w:line="360" w:lineRule="auto"/>
        <w:ind w:firstLine="420" w:firstLineChars="200"/>
        <w:rPr>
          <w:color w:val="auto"/>
          <w:szCs w:val="21"/>
          <w:highlight w:val="none"/>
        </w:rPr>
      </w:pPr>
      <w:r>
        <w:rPr>
          <w:rFonts w:hint="eastAsia"/>
          <w:color w:val="auto"/>
          <w:szCs w:val="21"/>
          <w:highlight w:val="none"/>
        </w:rPr>
        <w:t>为加强工程建设中的廉政建设，规范工程建设过程中甲、乙双方的各项活动，防止发生各种谋取不正当利益的违法违纪行为，保护国家、集体和当事人的合法权益，根据国家有关工程建设的法律法规和廉政建设责任制规定，特订立本廉政合同。</w:t>
      </w:r>
    </w:p>
    <w:p>
      <w:pPr>
        <w:spacing w:line="360" w:lineRule="auto"/>
        <w:ind w:firstLine="472" w:firstLineChars="225"/>
        <w:rPr>
          <w:color w:val="auto"/>
          <w:szCs w:val="21"/>
          <w:highlight w:val="none"/>
        </w:rPr>
      </w:pPr>
      <w:r>
        <w:rPr>
          <w:rFonts w:hint="eastAsia"/>
          <w:color w:val="auto"/>
          <w:szCs w:val="21"/>
          <w:highlight w:val="none"/>
        </w:rPr>
        <w:t>第一条 甲乙双方的责任</w:t>
      </w:r>
    </w:p>
    <w:p>
      <w:pPr>
        <w:spacing w:line="360" w:lineRule="auto"/>
        <w:ind w:firstLine="472" w:firstLineChars="225"/>
        <w:rPr>
          <w:color w:val="auto"/>
          <w:szCs w:val="21"/>
          <w:highlight w:val="none"/>
        </w:rPr>
      </w:pPr>
      <w:r>
        <w:rPr>
          <w:rFonts w:hint="eastAsia"/>
          <w:color w:val="auto"/>
          <w:szCs w:val="21"/>
          <w:highlight w:val="none"/>
        </w:rPr>
        <w:t>（一）应严格遵守国家关于市场准入、项目招标投标、工程建设、市场活动的有关法律、法规，相关政策，以及廉政建设的各项规定。</w:t>
      </w:r>
    </w:p>
    <w:p>
      <w:pPr>
        <w:spacing w:line="360" w:lineRule="auto"/>
        <w:ind w:firstLine="472" w:firstLineChars="225"/>
        <w:rPr>
          <w:color w:val="auto"/>
          <w:szCs w:val="21"/>
          <w:highlight w:val="none"/>
        </w:rPr>
      </w:pPr>
      <w:r>
        <w:rPr>
          <w:rFonts w:hint="eastAsia"/>
          <w:color w:val="auto"/>
          <w:szCs w:val="21"/>
          <w:highlight w:val="none"/>
        </w:rPr>
        <w:t>（二）严格执行</w:t>
      </w:r>
      <w:r>
        <w:rPr>
          <w:rFonts w:hint="eastAsia"/>
          <w:color w:val="auto"/>
          <w:kern w:val="58"/>
          <w:szCs w:val="21"/>
          <w:highlight w:val="none"/>
        </w:rPr>
        <w:t>绍兴市妇幼保健院（绍兴市儿童医院）建设项目净化项目</w:t>
      </w:r>
      <w:r>
        <w:rPr>
          <w:rFonts w:hint="eastAsia"/>
          <w:color w:val="auto"/>
          <w:szCs w:val="21"/>
          <w:highlight w:val="none"/>
        </w:rPr>
        <w:t>供货协议书文件，自觉按协议书办事。</w:t>
      </w:r>
    </w:p>
    <w:p>
      <w:pPr>
        <w:spacing w:line="360" w:lineRule="auto"/>
        <w:ind w:firstLine="472" w:firstLineChars="225"/>
        <w:rPr>
          <w:color w:val="auto"/>
          <w:szCs w:val="21"/>
          <w:highlight w:val="none"/>
        </w:rPr>
      </w:pPr>
      <w:r>
        <w:rPr>
          <w:rFonts w:hint="eastAsia"/>
          <w:color w:val="auto"/>
          <w:szCs w:val="21"/>
          <w:highlight w:val="none"/>
        </w:rPr>
        <w:t>（三）业务活动必须坚持公开、公平、公正、诚信、透明的原则（除法律法规另有规定者外），不得为获取不正当的利益，损害国家、集体和对方利益，不得违反工程建设管理的规章制度。</w:t>
      </w:r>
    </w:p>
    <w:p>
      <w:pPr>
        <w:spacing w:line="360" w:lineRule="auto"/>
        <w:ind w:firstLine="472" w:firstLineChars="225"/>
        <w:rPr>
          <w:color w:val="auto"/>
          <w:szCs w:val="21"/>
          <w:highlight w:val="none"/>
        </w:rPr>
      </w:pPr>
      <w:r>
        <w:rPr>
          <w:rFonts w:hint="eastAsia"/>
          <w:color w:val="auto"/>
          <w:szCs w:val="21"/>
          <w:highlight w:val="none"/>
        </w:rPr>
        <w:t>（四）发现对方在业务活动中有违规、违纪、违法行为的，应及时提醒对方，情节严重的，应向其上级主管部门或纪检监察、司法等有关机关举报。</w:t>
      </w:r>
    </w:p>
    <w:p>
      <w:pPr>
        <w:spacing w:line="360" w:lineRule="auto"/>
        <w:ind w:firstLine="472" w:firstLineChars="225"/>
        <w:rPr>
          <w:color w:val="auto"/>
          <w:szCs w:val="21"/>
          <w:highlight w:val="none"/>
        </w:rPr>
      </w:pPr>
      <w:r>
        <w:rPr>
          <w:rFonts w:hint="eastAsia"/>
          <w:color w:val="auto"/>
          <w:szCs w:val="21"/>
          <w:highlight w:val="none"/>
        </w:rPr>
        <w:t>第二条 甲方的责任</w:t>
      </w:r>
    </w:p>
    <w:p>
      <w:pPr>
        <w:spacing w:line="360" w:lineRule="auto"/>
        <w:ind w:firstLine="472" w:firstLineChars="225"/>
        <w:rPr>
          <w:color w:val="auto"/>
          <w:szCs w:val="21"/>
          <w:highlight w:val="none"/>
        </w:rPr>
      </w:pPr>
      <w:r>
        <w:rPr>
          <w:rFonts w:hint="eastAsia"/>
          <w:color w:val="auto"/>
          <w:szCs w:val="21"/>
          <w:highlight w:val="none"/>
        </w:rPr>
        <w:t>甲方的领导和从事该建设工程项目的工作人员，在工程建设的事前、事中、事后应遵守以下规定：</w:t>
      </w:r>
    </w:p>
    <w:p>
      <w:pPr>
        <w:spacing w:line="360" w:lineRule="auto"/>
        <w:ind w:firstLine="472" w:firstLineChars="225"/>
        <w:rPr>
          <w:color w:val="auto"/>
          <w:szCs w:val="21"/>
          <w:highlight w:val="none"/>
        </w:rPr>
      </w:pPr>
      <w:r>
        <w:rPr>
          <w:rFonts w:hint="eastAsia"/>
          <w:color w:val="auto"/>
          <w:szCs w:val="21"/>
          <w:highlight w:val="none"/>
        </w:rPr>
        <w:t>（一）不准向乙方和相关单位索要或接受回扣、礼金、有价证券、贵重物品和好处费、感谢费等。</w:t>
      </w:r>
    </w:p>
    <w:p>
      <w:pPr>
        <w:spacing w:line="360" w:lineRule="auto"/>
        <w:ind w:firstLine="472" w:firstLineChars="225"/>
        <w:rPr>
          <w:color w:val="auto"/>
          <w:szCs w:val="21"/>
          <w:highlight w:val="none"/>
        </w:rPr>
      </w:pPr>
      <w:r>
        <w:rPr>
          <w:rFonts w:hint="eastAsia"/>
          <w:color w:val="auto"/>
          <w:szCs w:val="21"/>
          <w:highlight w:val="none"/>
        </w:rPr>
        <w:t>（二）不准在乙方和相关单位报销任何应由甲方或个人支付的费用。</w:t>
      </w:r>
    </w:p>
    <w:p>
      <w:pPr>
        <w:spacing w:line="360" w:lineRule="auto"/>
        <w:ind w:firstLine="472" w:firstLineChars="225"/>
        <w:rPr>
          <w:color w:val="auto"/>
          <w:szCs w:val="21"/>
          <w:highlight w:val="none"/>
        </w:rPr>
      </w:pPr>
      <w:r>
        <w:rPr>
          <w:rFonts w:hint="eastAsia"/>
          <w:color w:val="auto"/>
          <w:szCs w:val="21"/>
          <w:highlight w:val="none"/>
        </w:rPr>
        <w:t>（三）不准要求、暗示或接受乙方和相关单位为个人装修住房、婚丧嫁娶、配偶子女的工作安排以及出国（境）、旅游等提供方便。</w:t>
      </w:r>
    </w:p>
    <w:p>
      <w:pPr>
        <w:spacing w:line="360" w:lineRule="auto"/>
        <w:ind w:firstLine="472" w:firstLineChars="225"/>
        <w:rPr>
          <w:color w:val="auto"/>
          <w:szCs w:val="21"/>
          <w:highlight w:val="none"/>
        </w:rPr>
      </w:pPr>
      <w:r>
        <w:rPr>
          <w:rFonts w:hint="eastAsia"/>
          <w:color w:val="auto"/>
          <w:szCs w:val="21"/>
          <w:highlight w:val="none"/>
        </w:rPr>
        <w:t>（四）不准参加有可能影响公正执行公务的乙方和相关单位的宴请、娱乐等活动。</w:t>
      </w:r>
    </w:p>
    <w:p>
      <w:pPr>
        <w:spacing w:line="360" w:lineRule="auto"/>
        <w:ind w:firstLine="472" w:firstLineChars="225"/>
        <w:rPr>
          <w:color w:val="auto"/>
          <w:szCs w:val="21"/>
          <w:highlight w:val="none"/>
        </w:rPr>
      </w:pPr>
      <w:r>
        <w:rPr>
          <w:rFonts w:hint="eastAsia"/>
          <w:color w:val="auto"/>
          <w:szCs w:val="21"/>
          <w:highlight w:val="none"/>
        </w:rPr>
        <w:t>（五）不准向乙方和相关单位介绍或为配偶、子女、亲属参与同甲方钢筋供货合同有关的业务等活动。不得以任何理由要求乙方和相关单位在生产过程中使用某种产品、材料和设备。</w:t>
      </w:r>
    </w:p>
    <w:p>
      <w:pPr>
        <w:spacing w:line="360" w:lineRule="auto"/>
        <w:ind w:firstLine="472" w:firstLineChars="225"/>
        <w:rPr>
          <w:color w:val="auto"/>
          <w:szCs w:val="21"/>
          <w:highlight w:val="none"/>
        </w:rPr>
      </w:pPr>
      <w:r>
        <w:rPr>
          <w:rFonts w:hint="eastAsia"/>
          <w:color w:val="auto"/>
          <w:szCs w:val="21"/>
          <w:highlight w:val="none"/>
        </w:rPr>
        <w:t>第三条 乙方的责任</w:t>
      </w:r>
    </w:p>
    <w:p>
      <w:pPr>
        <w:spacing w:line="360" w:lineRule="auto"/>
        <w:ind w:firstLine="472" w:firstLineChars="225"/>
        <w:rPr>
          <w:color w:val="auto"/>
          <w:szCs w:val="21"/>
          <w:highlight w:val="none"/>
        </w:rPr>
      </w:pPr>
      <w:r>
        <w:rPr>
          <w:rFonts w:hint="eastAsia"/>
          <w:color w:val="auto"/>
          <w:szCs w:val="21"/>
          <w:highlight w:val="none"/>
        </w:rPr>
        <w:t>应与甲方保持正常的业务交往，按照有关法律法规和程序开展业务工作，严格执行工程建设的有关方针、政策，尤其是有关强制性标准和规范，并遵守以下规定：</w:t>
      </w:r>
    </w:p>
    <w:p>
      <w:pPr>
        <w:spacing w:line="360" w:lineRule="auto"/>
        <w:ind w:firstLine="472" w:firstLineChars="225"/>
        <w:rPr>
          <w:color w:val="auto"/>
          <w:szCs w:val="21"/>
          <w:highlight w:val="none"/>
        </w:rPr>
      </w:pPr>
      <w:r>
        <w:rPr>
          <w:rFonts w:hint="eastAsia"/>
          <w:color w:val="auto"/>
          <w:szCs w:val="21"/>
          <w:highlight w:val="none"/>
        </w:rPr>
        <w:t>（一）不准以任何理由向甲方及其工作人员索要、接受或赠送礼金、有价证券、贵重物品及回扣、好处费、感谢费等。</w:t>
      </w:r>
    </w:p>
    <w:p>
      <w:pPr>
        <w:spacing w:line="360" w:lineRule="auto"/>
        <w:ind w:firstLine="472" w:firstLineChars="225"/>
        <w:rPr>
          <w:color w:val="auto"/>
          <w:szCs w:val="21"/>
          <w:highlight w:val="none"/>
        </w:rPr>
      </w:pPr>
      <w:r>
        <w:rPr>
          <w:rFonts w:hint="eastAsia"/>
          <w:color w:val="auto"/>
          <w:szCs w:val="21"/>
          <w:highlight w:val="none"/>
        </w:rPr>
        <w:t>（二）不准以任何理由为甲方和相关单位报销应由对方或个人支付的费用。</w:t>
      </w:r>
    </w:p>
    <w:p>
      <w:pPr>
        <w:spacing w:line="360" w:lineRule="auto"/>
        <w:ind w:firstLine="472" w:firstLineChars="225"/>
        <w:rPr>
          <w:color w:val="auto"/>
          <w:szCs w:val="21"/>
          <w:highlight w:val="none"/>
        </w:rPr>
      </w:pPr>
      <w:r>
        <w:rPr>
          <w:rFonts w:hint="eastAsia"/>
          <w:color w:val="auto"/>
          <w:szCs w:val="21"/>
          <w:highlight w:val="none"/>
        </w:rPr>
        <w:t>（三）不准接受或暗示为甲方、相关单位或个人装修住房、婚丧嫁娶、配偶子女的工作安排以及出国（境）、旅游等提供方便。</w:t>
      </w:r>
    </w:p>
    <w:p>
      <w:pPr>
        <w:spacing w:line="360" w:lineRule="auto"/>
        <w:ind w:firstLine="472" w:firstLineChars="225"/>
        <w:rPr>
          <w:color w:val="auto"/>
          <w:szCs w:val="21"/>
          <w:highlight w:val="none"/>
        </w:rPr>
      </w:pPr>
      <w:r>
        <w:rPr>
          <w:rFonts w:hint="eastAsia"/>
          <w:color w:val="auto"/>
          <w:szCs w:val="21"/>
          <w:highlight w:val="none"/>
        </w:rPr>
        <w:t>（四）不准以任何理由为甲方、相关单位或个人组织有可能影响公正执行公务的宴请、健身、娱乐等活动。</w:t>
      </w:r>
    </w:p>
    <w:p>
      <w:pPr>
        <w:spacing w:line="360" w:lineRule="auto"/>
        <w:ind w:firstLine="472" w:firstLineChars="225"/>
        <w:rPr>
          <w:color w:val="auto"/>
          <w:szCs w:val="21"/>
          <w:highlight w:val="none"/>
        </w:rPr>
      </w:pPr>
      <w:r>
        <w:rPr>
          <w:rFonts w:hint="eastAsia"/>
          <w:color w:val="auto"/>
          <w:szCs w:val="21"/>
          <w:highlight w:val="none"/>
        </w:rPr>
        <w:t>第四条 违约责任</w:t>
      </w:r>
    </w:p>
    <w:p>
      <w:pPr>
        <w:spacing w:line="360" w:lineRule="auto"/>
        <w:ind w:firstLine="472" w:firstLineChars="225"/>
        <w:rPr>
          <w:color w:val="auto"/>
          <w:szCs w:val="21"/>
          <w:highlight w:val="none"/>
        </w:rPr>
      </w:pPr>
      <w:r>
        <w:rPr>
          <w:rFonts w:hint="eastAsia"/>
          <w:color w:val="auto"/>
          <w:szCs w:val="21"/>
          <w:highlight w:val="none"/>
        </w:rPr>
        <w:t>（一）甲方工作人员有违反本协议第一、二条责任行为的，按照管理权限，依据有关法律法规和规定给予党纪、政纪处分或组织处理；涉嫌犯罪的，移交司法机关追究刑事责任；给乙方单位造成经济损失的，应予以赔偿。</w:t>
      </w:r>
    </w:p>
    <w:p>
      <w:pPr>
        <w:spacing w:line="360" w:lineRule="auto"/>
        <w:ind w:firstLine="472" w:firstLineChars="225"/>
        <w:rPr>
          <w:color w:val="auto"/>
          <w:szCs w:val="21"/>
          <w:highlight w:val="none"/>
        </w:rPr>
      </w:pPr>
      <w:r>
        <w:rPr>
          <w:rFonts w:hint="eastAsia"/>
          <w:color w:val="auto"/>
          <w:szCs w:val="21"/>
          <w:highlight w:val="none"/>
        </w:rPr>
        <w:t>（二）乙方工作人员有违反本协议第一、三条责任行为的，按照管理权限，依据有关法律法规和规定给予党纪、政纪处分或组织处理；涉嫌犯罪的，移交司法机关追究刑事责任；给甲方单位造成经济损失的，应予以赔偿。</w:t>
      </w:r>
    </w:p>
    <w:p>
      <w:pPr>
        <w:spacing w:line="360" w:lineRule="auto"/>
        <w:ind w:firstLine="472" w:firstLineChars="225"/>
        <w:rPr>
          <w:color w:val="auto"/>
          <w:szCs w:val="21"/>
          <w:highlight w:val="none"/>
        </w:rPr>
      </w:pPr>
      <w:r>
        <w:rPr>
          <w:rFonts w:hint="eastAsia"/>
          <w:color w:val="auto"/>
          <w:szCs w:val="21"/>
          <w:highlight w:val="none"/>
        </w:rPr>
        <w:t>第五条 本合同与协议书具有同等法律效力。经双方签字盖章后立即生效。</w:t>
      </w:r>
    </w:p>
    <w:p>
      <w:pPr>
        <w:spacing w:line="360" w:lineRule="auto"/>
        <w:ind w:firstLine="472" w:firstLineChars="225"/>
        <w:rPr>
          <w:color w:val="auto"/>
          <w:szCs w:val="21"/>
          <w:highlight w:val="none"/>
        </w:rPr>
      </w:pPr>
      <w:r>
        <w:rPr>
          <w:rFonts w:hint="eastAsia"/>
          <w:color w:val="auto"/>
          <w:szCs w:val="21"/>
          <w:highlight w:val="none"/>
        </w:rPr>
        <w:t>第六条 本合同的有效期同主合同。</w:t>
      </w:r>
    </w:p>
    <w:p>
      <w:pPr>
        <w:spacing w:line="360" w:lineRule="auto"/>
        <w:ind w:firstLine="420" w:firstLineChars="200"/>
        <w:rPr>
          <w:color w:val="auto"/>
          <w:szCs w:val="21"/>
          <w:highlight w:val="none"/>
        </w:rPr>
      </w:pPr>
      <w:r>
        <w:rPr>
          <w:rFonts w:hint="eastAsia"/>
          <w:color w:val="auto"/>
          <w:szCs w:val="21"/>
          <w:highlight w:val="none"/>
        </w:rPr>
        <w:t>第七条 本合同正副本份数同主合同。</w:t>
      </w:r>
    </w:p>
    <w:p>
      <w:pPr>
        <w:spacing w:line="360" w:lineRule="auto"/>
        <w:ind w:firstLine="472" w:firstLineChars="225"/>
        <w:rPr>
          <w:color w:val="auto"/>
          <w:szCs w:val="21"/>
          <w:highlight w:val="none"/>
        </w:rPr>
      </w:pPr>
    </w:p>
    <w:p>
      <w:pPr>
        <w:tabs>
          <w:tab w:val="left" w:pos="3780"/>
        </w:tabs>
        <w:spacing w:line="360" w:lineRule="auto"/>
        <w:rPr>
          <w:color w:val="auto"/>
          <w:szCs w:val="21"/>
          <w:highlight w:val="none"/>
        </w:rPr>
      </w:pPr>
      <w:r>
        <w:rPr>
          <w:rFonts w:hint="eastAsia"/>
          <w:color w:val="auto"/>
          <w:szCs w:val="21"/>
          <w:highlight w:val="none"/>
        </w:rPr>
        <w:t>甲方：</w:t>
      </w:r>
      <w:r>
        <w:rPr>
          <w:rFonts w:hint="eastAsia"/>
          <w:color w:val="auto"/>
          <w:szCs w:val="21"/>
          <w:highlight w:val="none"/>
          <w:u w:val="single"/>
        </w:rPr>
        <w:t xml:space="preserve">浙江精工钢结构集团有限公司  </w:t>
      </w:r>
      <w:r>
        <w:rPr>
          <w:rFonts w:hint="eastAsia"/>
          <w:color w:val="auto"/>
          <w:szCs w:val="21"/>
          <w:highlight w:val="none"/>
        </w:rPr>
        <w:t xml:space="preserve">     乙方：</w:t>
      </w:r>
    </w:p>
    <w:p>
      <w:pPr>
        <w:spacing w:line="360" w:lineRule="auto"/>
        <w:rPr>
          <w:color w:val="auto"/>
          <w:szCs w:val="21"/>
          <w:highlight w:val="none"/>
          <w:u w:val="single"/>
        </w:rPr>
      </w:pPr>
      <w:r>
        <w:rPr>
          <w:rFonts w:hint="eastAsia"/>
          <w:color w:val="auto"/>
          <w:szCs w:val="21"/>
          <w:highlight w:val="none"/>
        </w:rPr>
        <w:t>（盖章）</w:t>
      </w:r>
      <w:r>
        <w:rPr>
          <w:rFonts w:hint="eastAsia"/>
          <w:color w:val="auto"/>
          <w:szCs w:val="21"/>
          <w:highlight w:val="none"/>
          <w:u w:val="single"/>
        </w:rPr>
        <w:t xml:space="preserve">                                                 </w:t>
      </w:r>
      <w:r>
        <w:rPr>
          <w:rFonts w:hint="eastAsia"/>
          <w:color w:val="auto"/>
          <w:szCs w:val="21"/>
          <w:highlight w:val="none"/>
        </w:rPr>
        <w:t>（盖章）</w:t>
      </w:r>
      <w:r>
        <w:rPr>
          <w:rFonts w:hint="eastAsia"/>
          <w:color w:val="auto"/>
          <w:szCs w:val="21"/>
          <w:highlight w:val="none"/>
          <w:u w:val="single"/>
        </w:rPr>
        <w:t xml:space="preserve">         </w:t>
      </w:r>
    </w:p>
    <w:p>
      <w:pPr>
        <w:spacing w:line="360" w:lineRule="auto"/>
        <w:rPr>
          <w:color w:val="auto"/>
          <w:szCs w:val="21"/>
          <w:highlight w:val="none"/>
        </w:rPr>
      </w:pPr>
      <w:r>
        <w:rPr>
          <w:rFonts w:hint="eastAsia"/>
          <w:color w:val="auto"/>
          <w:szCs w:val="21"/>
          <w:highlight w:val="none"/>
        </w:rPr>
        <w:t>法定代表人或                                           法定代表人或</w:t>
      </w:r>
    </w:p>
    <w:p>
      <w:pPr>
        <w:spacing w:line="360" w:lineRule="auto"/>
        <w:rPr>
          <w:color w:val="auto"/>
          <w:szCs w:val="21"/>
          <w:highlight w:val="none"/>
        </w:rPr>
      </w:pPr>
      <w:r>
        <w:rPr>
          <w:rFonts w:hint="eastAsia"/>
          <w:color w:val="auto"/>
          <w:szCs w:val="21"/>
          <w:highlight w:val="none"/>
        </w:rPr>
        <w:t>其委托代理人：（签字）                       其委托代理人：（签字）</w:t>
      </w:r>
    </w:p>
    <w:p>
      <w:pPr>
        <w:spacing w:line="360" w:lineRule="auto"/>
        <w:rPr>
          <w:color w:val="auto"/>
          <w:szCs w:val="21"/>
          <w:highlight w:val="none"/>
          <w:u w:val="single"/>
        </w:rPr>
      </w:pPr>
      <w:r>
        <w:rPr>
          <w:rFonts w:hint="eastAsia"/>
          <w:color w:val="auto"/>
          <w:szCs w:val="21"/>
          <w:highlight w:val="none"/>
        </w:rPr>
        <w:t>日期：      年     月     日                           日期：     年     月       日</w:t>
      </w:r>
    </w:p>
    <w:p>
      <w:pPr>
        <w:spacing w:line="360" w:lineRule="auto"/>
        <w:rPr>
          <w:color w:val="auto"/>
          <w:szCs w:val="21"/>
          <w:highlight w:val="none"/>
        </w:rPr>
      </w:pPr>
      <w:r>
        <w:rPr>
          <w:rFonts w:hint="eastAsia"/>
          <w:color w:val="auto"/>
          <w:szCs w:val="21"/>
          <w:highlight w:val="none"/>
        </w:rPr>
        <w:br w:type="page"/>
      </w:r>
    </w:p>
    <w:p>
      <w:pPr>
        <w:pStyle w:val="7"/>
        <w:adjustRightInd w:val="0"/>
        <w:ind w:firstLine="422"/>
        <w:textAlignment w:val="baseline"/>
        <w:rPr>
          <w:color w:val="auto"/>
          <w:szCs w:val="21"/>
          <w:highlight w:val="none"/>
        </w:rPr>
      </w:pPr>
      <w:r>
        <w:rPr>
          <w:rFonts w:hint="eastAsia"/>
          <w:color w:val="auto"/>
          <w:szCs w:val="21"/>
          <w:highlight w:val="none"/>
        </w:rPr>
        <w:t>附件2：履约保函（格式）</w:t>
      </w:r>
    </w:p>
    <w:p>
      <w:pPr>
        <w:snapToGrid w:val="0"/>
        <w:spacing w:line="360" w:lineRule="auto"/>
        <w:rPr>
          <w:color w:val="auto"/>
          <w:szCs w:val="21"/>
          <w:highlight w:val="none"/>
        </w:rPr>
      </w:pPr>
    </w:p>
    <w:p>
      <w:pPr>
        <w:spacing w:line="360" w:lineRule="auto"/>
        <w:jc w:val="center"/>
        <w:rPr>
          <w:b/>
          <w:color w:val="auto"/>
          <w:szCs w:val="21"/>
          <w:highlight w:val="none"/>
        </w:rPr>
      </w:pPr>
      <w:r>
        <w:rPr>
          <w:rFonts w:hint="eastAsia"/>
          <w:b/>
          <w:color w:val="auto"/>
          <w:szCs w:val="21"/>
          <w:highlight w:val="none"/>
        </w:rPr>
        <w:t>履约保函</w:t>
      </w:r>
    </w:p>
    <w:p>
      <w:pPr>
        <w:spacing w:line="360" w:lineRule="auto"/>
        <w:rPr>
          <w:b/>
          <w:color w:val="auto"/>
          <w:szCs w:val="21"/>
          <w:highlight w:val="none"/>
          <w:u w:val="single"/>
        </w:rPr>
      </w:pPr>
    </w:p>
    <w:p>
      <w:pPr>
        <w:spacing w:line="360" w:lineRule="auto"/>
        <w:rPr>
          <w:b/>
          <w:color w:val="auto"/>
          <w:szCs w:val="21"/>
          <w:highlight w:val="none"/>
        </w:rPr>
      </w:pPr>
      <w:r>
        <w:rPr>
          <w:rFonts w:hint="eastAsia"/>
          <w:color w:val="auto"/>
          <w:szCs w:val="21"/>
          <w:highlight w:val="none"/>
          <w:u w:val="single"/>
        </w:rPr>
        <w:t>浙江精工钢结构集团有限公司</w:t>
      </w:r>
      <w:r>
        <w:rPr>
          <w:rFonts w:hint="eastAsia"/>
          <w:b/>
          <w:color w:val="auto"/>
          <w:szCs w:val="21"/>
          <w:highlight w:val="none"/>
        </w:rPr>
        <w:t>：</w:t>
      </w:r>
    </w:p>
    <w:p>
      <w:pPr>
        <w:spacing w:line="360" w:lineRule="auto"/>
        <w:ind w:firstLine="420" w:firstLineChars="200"/>
        <w:rPr>
          <w:color w:val="auto"/>
          <w:szCs w:val="21"/>
          <w:highlight w:val="none"/>
        </w:rPr>
      </w:pPr>
      <w:r>
        <w:rPr>
          <w:rFonts w:hint="eastAsia"/>
          <w:color w:val="auto"/>
          <w:szCs w:val="21"/>
          <w:highlight w:val="none"/>
        </w:rPr>
        <w:t>鉴于       （以下简称“甲方”）接受      （以下简称“乙方”）于   年  月  日参加          （项目名称）的投标。我方愿意无条件地、不可撤销地就乙方履行与你方订立的合同，向你方提供保函。</w:t>
      </w:r>
    </w:p>
    <w:p>
      <w:pPr>
        <w:spacing w:line="360" w:lineRule="auto"/>
        <w:ind w:firstLine="420" w:firstLineChars="200"/>
        <w:rPr>
          <w:color w:val="auto"/>
          <w:szCs w:val="21"/>
          <w:highlight w:val="none"/>
        </w:rPr>
      </w:pPr>
      <w:r>
        <w:rPr>
          <w:rFonts w:hint="eastAsia"/>
          <w:color w:val="auto"/>
          <w:szCs w:val="21"/>
          <w:highlight w:val="none"/>
        </w:rPr>
        <w:t>1.保函金额人民币</w:t>
      </w:r>
      <w:r>
        <w:rPr>
          <w:rFonts w:hint="eastAsia"/>
          <w:color w:val="auto"/>
          <w:szCs w:val="21"/>
          <w:highlight w:val="none"/>
          <w:u w:val="single"/>
        </w:rPr>
        <w:t xml:space="preserve">（大写）              </w:t>
      </w:r>
      <w:r>
        <w:rPr>
          <w:rFonts w:hint="eastAsia"/>
          <w:color w:val="auto"/>
          <w:szCs w:val="21"/>
          <w:highlight w:val="none"/>
        </w:rPr>
        <w:t>元（¥）。</w:t>
      </w:r>
    </w:p>
    <w:p>
      <w:pPr>
        <w:spacing w:line="360" w:lineRule="auto"/>
        <w:ind w:firstLine="420" w:firstLineChars="200"/>
        <w:rPr>
          <w:color w:val="auto"/>
          <w:szCs w:val="21"/>
          <w:highlight w:val="none"/>
        </w:rPr>
      </w:pPr>
      <w:r>
        <w:rPr>
          <w:rFonts w:hint="eastAsia"/>
          <w:color w:val="auto"/>
          <w:szCs w:val="21"/>
          <w:highlight w:val="none"/>
        </w:rPr>
        <w:t>2.保函有效期：自甲、乙双方签订的合同协议书生效之日起，至</w:t>
      </w:r>
      <w:r>
        <w:rPr>
          <w:rFonts w:hint="eastAsia"/>
          <w:color w:val="auto"/>
          <w:szCs w:val="21"/>
          <w:highlight w:val="none"/>
          <w:u w:val="single"/>
        </w:rPr>
        <w:t xml:space="preserve">20  </w:t>
      </w:r>
      <w:r>
        <w:rPr>
          <w:rFonts w:hint="eastAsia"/>
          <w:color w:val="auto"/>
          <w:szCs w:val="21"/>
          <w:highlight w:val="none"/>
        </w:rPr>
        <w:t>年  月  日止。</w:t>
      </w:r>
    </w:p>
    <w:p>
      <w:pPr>
        <w:spacing w:line="360" w:lineRule="auto"/>
        <w:ind w:firstLine="420" w:firstLineChars="200"/>
        <w:rPr>
          <w:color w:val="auto"/>
          <w:szCs w:val="21"/>
          <w:highlight w:val="none"/>
        </w:rPr>
      </w:pPr>
      <w:r>
        <w:rPr>
          <w:rFonts w:hint="eastAsia"/>
          <w:color w:val="auto"/>
          <w:szCs w:val="21"/>
          <w:highlight w:val="none"/>
        </w:rPr>
        <w:t>3.在本保函有效期内，我方在收到你方以书面形式提出的在担保金额内的赔偿要求后，在5个工作日内无条件支付。</w:t>
      </w:r>
    </w:p>
    <w:p>
      <w:pPr>
        <w:spacing w:line="360" w:lineRule="auto"/>
        <w:ind w:firstLine="420" w:firstLineChars="200"/>
        <w:rPr>
          <w:color w:val="auto"/>
          <w:szCs w:val="21"/>
          <w:highlight w:val="none"/>
        </w:rPr>
      </w:pPr>
      <w:r>
        <w:rPr>
          <w:rFonts w:hint="eastAsia"/>
          <w:color w:val="auto"/>
          <w:szCs w:val="21"/>
          <w:highlight w:val="none"/>
        </w:rPr>
        <w:t>4.甲、乙双方按规定修改合同时，我方承担本担保规定的义务不变。</w:t>
      </w:r>
    </w:p>
    <w:p>
      <w:pPr>
        <w:spacing w:line="360" w:lineRule="auto"/>
        <w:ind w:firstLine="420" w:firstLineChars="200"/>
        <w:rPr>
          <w:color w:val="auto"/>
          <w:szCs w:val="21"/>
          <w:highlight w:val="none"/>
        </w:rPr>
      </w:pPr>
      <w:r>
        <w:rPr>
          <w:rFonts w:hint="eastAsia"/>
          <w:color w:val="auto"/>
          <w:szCs w:val="21"/>
          <w:highlight w:val="none"/>
        </w:rPr>
        <w:t>5.本保函以及与本保函有关的纠纷，由各方协商解决，协商不成的，任何一方均可向甲方所在地人民法院提请诉讼。</w:t>
      </w:r>
    </w:p>
    <w:p>
      <w:pPr>
        <w:spacing w:line="360" w:lineRule="auto"/>
        <w:ind w:firstLine="420" w:firstLineChars="200"/>
        <w:rPr>
          <w:color w:val="auto"/>
          <w:szCs w:val="21"/>
          <w:highlight w:val="none"/>
        </w:rPr>
      </w:pPr>
    </w:p>
    <w:p>
      <w:pPr>
        <w:spacing w:line="360" w:lineRule="auto"/>
        <w:rPr>
          <w:color w:val="auto"/>
          <w:szCs w:val="21"/>
          <w:highlight w:val="none"/>
        </w:rPr>
      </w:pPr>
    </w:p>
    <w:p>
      <w:pPr>
        <w:spacing w:line="360" w:lineRule="auto"/>
        <w:rPr>
          <w:color w:val="auto"/>
          <w:szCs w:val="21"/>
          <w:highlight w:val="none"/>
        </w:rPr>
      </w:pPr>
    </w:p>
    <w:p>
      <w:pPr>
        <w:spacing w:line="360" w:lineRule="auto"/>
        <w:ind w:firstLine="2520" w:firstLineChars="1200"/>
        <w:rPr>
          <w:color w:val="auto"/>
          <w:szCs w:val="21"/>
          <w:highlight w:val="none"/>
        </w:rPr>
      </w:pPr>
      <w:r>
        <w:rPr>
          <w:rFonts w:hint="eastAsia"/>
          <w:color w:val="auto"/>
          <w:szCs w:val="21"/>
          <w:highlight w:val="none"/>
        </w:rPr>
        <w:t>连带责任担保人：（盖单位公章）</w:t>
      </w:r>
    </w:p>
    <w:p>
      <w:pPr>
        <w:spacing w:line="360" w:lineRule="auto"/>
        <w:ind w:firstLine="2520" w:firstLineChars="1200"/>
        <w:rPr>
          <w:color w:val="auto"/>
          <w:szCs w:val="21"/>
          <w:highlight w:val="none"/>
        </w:rPr>
      </w:pPr>
      <w:r>
        <w:rPr>
          <w:rFonts w:hint="eastAsia"/>
          <w:color w:val="auto"/>
          <w:szCs w:val="21"/>
          <w:highlight w:val="none"/>
        </w:rPr>
        <w:t>法定代表人或其委托代理人：（签字）</w:t>
      </w:r>
    </w:p>
    <w:p>
      <w:pPr>
        <w:spacing w:line="360" w:lineRule="auto"/>
        <w:ind w:firstLine="2520" w:firstLineChars="1200"/>
        <w:rPr>
          <w:color w:val="auto"/>
          <w:szCs w:val="21"/>
          <w:highlight w:val="none"/>
        </w:rPr>
      </w:pPr>
      <w:r>
        <w:rPr>
          <w:rFonts w:hint="eastAsia"/>
          <w:color w:val="auto"/>
          <w:szCs w:val="21"/>
          <w:highlight w:val="none"/>
        </w:rPr>
        <w:t>地址：</w:t>
      </w:r>
    </w:p>
    <w:p>
      <w:pPr>
        <w:spacing w:line="360" w:lineRule="auto"/>
        <w:ind w:firstLine="2520" w:firstLineChars="1200"/>
        <w:rPr>
          <w:color w:val="auto"/>
          <w:szCs w:val="21"/>
          <w:highlight w:val="none"/>
        </w:rPr>
      </w:pPr>
      <w:r>
        <w:rPr>
          <w:rFonts w:hint="eastAsia"/>
          <w:color w:val="auto"/>
          <w:szCs w:val="21"/>
          <w:highlight w:val="none"/>
        </w:rPr>
        <w:t>邮编：</w:t>
      </w:r>
    </w:p>
    <w:p>
      <w:pPr>
        <w:spacing w:line="360" w:lineRule="auto"/>
        <w:ind w:firstLine="2520" w:firstLineChars="1200"/>
        <w:rPr>
          <w:color w:val="auto"/>
          <w:szCs w:val="21"/>
          <w:highlight w:val="none"/>
        </w:rPr>
      </w:pPr>
      <w:r>
        <w:rPr>
          <w:rFonts w:hint="eastAsia"/>
          <w:color w:val="auto"/>
          <w:szCs w:val="21"/>
          <w:highlight w:val="none"/>
        </w:rPr>
        <w:t>电话：</w:t>
      </w:r>
    </w:p>
    <w:p>
      <w:pPr>
        <w:spacing w:line="360" w:lineRule="auto"/>
        <w:ind w:firstLine="2520" w:firstLineChars="1200"/>
        <w:rPr>
          <w:color w:val="auto"/>
          <w:szCs w:val="21"/>
          <w:highlight w:val="none"/>
        </w:rPr>
      </w:pPr>
      <w:r>
        <w:rPr>
          <w:rFonts w:hint="eastAsia"/>
          <w:color w:val="auto"/>
          <w:szCs w:val="21"/>
          <w:highlight w:val="none"/>
        </w:rPr>
        <w:t>传真：</w:t>
      </w:r>
    </w:p>
    <w:p>
      <w:pPr>
        <w:tabs>
          <w:tab w:val="left" w:pos="4500"/>
          <w:tab w:val="left" w:pos="4680"/>
        </w:tabs>
        <w:spacing w:line="360" w:lineRule="auto"/>
        <w:rPr>
          <w:color w:val="auto"/>
          <w:szCs w:val="21"/>
          <w:highlight w:val="none"/>
        </w:rPr>
      </w:pPr>
      <w:r>
        <w:rPr>
          <w:rFonts w:hint="eastAsia"/>
          <w:color w:val="auto"/>
          <w:szCs w:val="21"/>
          <w:highlight w:val="none"/>
        </w:rPr>
        <w:t xml:space="preserve">     年     月     日</w:t>
      </w:r>
    </w:p>
    <w:p>
      <w:pPr>
        <w:spacing w:line="360" w:lineRule="auto"/>
        <w:rPr>
          <w:color w:val="auto"/>
          <w:szCs w:val="21"/>
          <w:highlight w:val="none"/>
        </w:rPr>
        <w:sectPr>
          <w:footerReference r:id="rId5" w:type="even"/>
          <w:pgSz w:w="11905" w:h="16838"/>
          <w:pgMar w:top="1417" w:right="1134" w:bottom="1417" w:left="1134" w:header="680" w:footer="680" w:gutter="0"/>
          <w:cols w:space="0" w:num="1"/>
          <w:docGrid w:linePitch="312" w:charSpace="0"/>
        </w:sectPr>
      </w:pPr>
    </w:p>
    <w:p>
      <w:pPr>
        <w:tabs>
          <w:tab w:val="left" w:pos="4500"/>
          <w:tab w:val="left" w:pos="4680"/>
        </w:tabs>
        <w:spacing w:line="360" w:lineRule="auto"/>
        <w:rPr>
          <w:color w:val="auto"/>
          <w:spacing w:val="30"/>
          <w:szCs w:val="21"/>
          <w:highlight w:val="none"/>
        </w:rPr>
      </w:pPr>
      <w:r>
        <w:rPr>
          <w:rFonts w:hint="eastAsia"/>
          <w:b/>
          <w:color w:val="auto"/>
          <w:szCs w:val="21"/>
          <w:highlight w:val="none"/>
        </w:rPr>
        <w:t>附件3：安全生产合同（格式）</w:t>
      </w:r>
    </w:p>
    <w:p>
      <w:pPr>
        <w:spacing w:line="360" w:lineRule="auto"/>
        <w:rPr>
          <w:color w:val="auto"/>
          <w:szCs w:val="21"/>
          <w:highlight w:val="none"/>
        </w:rPr>
      </w:pPr>
    </w:p>
    <w:p>
      <w:pPr>
        <w:spacing w:line="360" w:lineRule="auto"/>
        <w:jc w:val="center"/>
        <w:rPr>
          <w:b/>
          <w:color w:val="auto"/>
          <w:szCs w:val="21"/>
          <w:highlight w:val="none"/>
        </w:rPr>
      </w:pPr>
      <w:r>
        <w:rPr>
          <w:rFonts w:hint="eastAsia"/>
          <w:b/>
          <w:color w:val="auto"/>
          <w:szCs w:val="21"/>
          <w:highlight w:val="none"/>
        </w:rPr>
        <w:t>安全生产合同</w:t>
      </w:r>
    </w:p>
    <w:p>
      <w:pPr>
        <w:spacing w:line="360" w:lineRule="auto"/>
        <w:ind w:firstLine="527"/>
        <w:rPr>
          <w:color w:val="auto"/>
          <w:szCs w:val="21"/>
          <w:highlight w:val="none"/>
        </w:rPr>
      </w:pPr>
    </w:p>
    <w:p>
      <w:pPr>
        <w:spacing w:line="360" w:lineRule="auto"/>
        <w:ind w:firstLine="527"/>
        <w:rPr>
          <w:color w:val="auto"/>
          <w:szCs w:val="21"/>
          <w:highlight w:val="none"/>
        </w:rPr>
      </w:pPr>
      <w:r>
        <w:rPr>
          <w:rFonts w:hint="eastAsia"/>
          <w:color w:val="auto"/>
          <w:szCs w:val="21"/>
          <w:highlight w:val="none"/>
        </w:rPr>
        <w:t>为在</w:t>
      </w:r>
      <w:r>
        <w:rPr>
          <w:rFonts w:hint="eastAsia"/>
          <w:color w:val="auto"/>
          <w:szCs w:val="21"/>
          <w:highlight w:val="none"/>
          <w:u w:val="single"/>
        </w:rPr>
        <w:t>绍兴市妇幼保健院（绍兴市儿童医院）建设项目净化项目</w:t>
      </w:r>
      <w:r>
        <w:rPr>
          <w:rFonts w:hint="eastAsia"/>
          <w:color w:val="auto"/>
          <w:szCs w:val="21"/>
          <w:highlight w:val="none"/>
        </w:rPr>
        <w:t>供货合同的实施过程中创造安全、高效的环境，切实搞好本项目的安全管理工作，      （以下简称“甲方”）与       （以下简称“乙方”）特此签订安全生产合同如下：</w:t>
      </w:r>
    </w:p>
    <w:p>
      <w:pPr>
        <w:spacing w:line="360" w:lineRule="auto"/>
        <w:ind w:firstLine="527"/>
        <w:rPr>
          <w:color w:val="auto"/>
          <w:szCs w:val="21"/>
          <w:highlight w:val="none"/>
        </w:rPr>
      </w:pPr>
      <w:r>
        <w:rPr>
          <w:rFonts w:hint="eastAsia"/>
          <w:color w:val="auto"/>
          <w:szCs w:val="21"/>
          <w:highlight w:val="none"/>
        </w:rPr>
        <w:t>一、甲方职责</w:t>
      </w:r>
    </w:p>
    <w:p>
      <w:pPr>
        <w:spacing w:line="360" w:lineRule="auto"/>
        <w:ind w:firstLine="527"/>
        <w:rPr>
          <w:color w:val="auto"/>
          <w:szCs w:val="21"/>
          <w:highlight w:val="none"/>
        </w:rPr>
      </w:pPr>
      <w:r>
        <w:rPr>
          <w:rFonts w:hint="eastAsia"/>
          <w:color w:val="auto"/>
          <w:szCs w:val="21"/>
          <w:highlight w:val="none"/>
        </w:rPr>
        <w:t>1.严格遵守国家有关安全生产的法律法规等有关安全生产的规定，认真执行合同中的有关安全要求。</w:t>
      </w:r>
    </w:p>
    <w:p>
      <w:pPr>
        <w:spacing w:line="360" w:lineRule="auto"/>
        <w:ind w:firstLine="527"/>
        <w:rPr>
          <w:color w:val="auto"/>
          <w:szCs w:val="21"/>
          <w:highlight w:val="none"/>
        </w:rPr>
      </w:pPr>
      <w:r>
        <w:rPr>
          <w:rFonts w:hint="eastAsia"/>
          <w:color w:val="auto"/>
          <w:szCs w:val="21"/>
          <w:highlight w:val="none"/>
        </w:rPr>
        <w:t>2.定期召开安全生产调度会，及时传达中央及地方有关安全生产的精神。</w:t>
      </w:r>
    </w:p>
    <w:p>
      <w:pPr>
        <w:spacing w:line="360" w:lineRule="auto"/>
        <w:ind w:firstLine="527"/>
        <w:rPr>
          <w:color w:val="auto"/>
          <w:szCs w:val="21"/>
          <w:highlight w:val="none"/>
        </w:rPr>
      </w:pPr>
      <w:r>
        <w:rPr>
          <w:rFonts w:hint="eastAsia"/>
          <w:color w:val="auto"/>
          <w:szCs w:val="21"/>
          <w:highlight w:val="none"/>
        </w:rPr>
        <w:t>3.对乙方现场操作安全生产检查，监督乙方及时处理发现的各项安全隐患。</w:t>
      </w:r>
    </w:p>
    <w:p>
      <w:pPr>
        <w:spacing w:line="360" w:lineRule="auto"/>
        <w:ind w:firstLine="525"/>
        <w:rPr>
          <w:color w:val="auto"/>
          <w:szCs w:val="21"/>
          <w:highlight w:val="none"/>
        </w:rPr>
      </w:pPr>
      <w:r>
        <w:rPr>
          <w:rFonts w:hint="eastAsia"/>
          <w:color w:val="auto"/>
          <w:szCs w:val="21"/>
          <w:highlight w:val="none"/>
        </w:rPr>
        <w:t>二、乙方职责</w:t>
      </w:r>
    </w:p>
    <w:p>
      <w:pPr>
        <w:spacing w:line="360" w:lineRule="auto"/>
        <w:ind w:firstLine="525"/>
        <w:rPr>
          <w:color w:val="auto"/>
          <w:szCs w:val="21"/>
          <w:highlight w:val="none"/>
        </w:rPr>
      </w:pPr>
      <w:r>
        <w:rPr>
          <w:rFonts w:hint="eastAsia"/>
          <w:color w:val="auto"/>
          <w:szCs w:val="21"/>
          <w:highlight w:val="none"/>
        </w:rPr>
        <w:t>1.严格遵守国家有关安全生产的法律法规等有关安全生产的规定，认真执行工程承包合同中的有关安全要求。</w:t>
      </w:r>
    </w:p>
    <w:p>
      <w:pPr>
        <w:spacing w:line="360" w:lineRule="auto"/>
        <w:ind w:firstLine="525"/>
        <w:rPr>
          <w:color w:val="auto"/>
          <w:szCs w:val="21"/>
          <w:highlight w:val="none"/>
        </w:rPr>
      </w:pPr>
      <w:r>
        <w:rPr>
          <w:rFonts w:hint="eastAsia"/>
          <w:color w:val="auto"/>
          <w:szCs w:val="21"/>
          <w:highlight w:val="none"/>
        </w:rPr>
        <w:t>2.坚持“安全第一、预防为主”，加强安全生产宣传教育，增强全员安全生产意识，指定兼职安全检查人员。工作人员必须熟悉和遵守本条款的各项规定，做到生产与安全工作同时计划、布置、检查、总结和评比。</w:t>
      </w:r>
    </w:p>
    <w:p>
      <w:pPr>
        <w:spacing w:line="360" w:lineRule="auto"/>
        <w:ind w:firstLine="525"/>
        <w:rPr>
          <w:color w:val="auto"/>
          <w:szCs w:val="21"/>
          <w:highlight w:val="none"/>
        </w:rPr>
      </w:pPr>
      <w:r>
        <w:rPr>
          <w:rFonts w:hint="eastAsia"/>
          <w:color w:val="auto"/>
          <w:szCs w:val="21"/>
          <w:highlight w:val="none"/>
        </w:rPr>
        <w:t>3.建立安全责任制。从项目负责人到其他人员（包括临时雇请的民工）的安全生产管理系统必须做到纵向到底，一环不漏；人员的安全生产责任制做到横向到边，人人有责。 控制项目负责人是安全生产的第一责任人，负责所有员工的安全和治安保卫工作及预防事故的发生，有权按有关规定发布指令，并采取保护性措施防止事故发生。</w:t>
      </w:r>
    </w:p>
    <w:p>
      <w:pPr>
        <w:spacing w:line="360" w:lineRule="auto"/>
        <w:ind w:firstLine="525"/>
        <w:rPr>
          <w:color w:val="auto"/>
          <w:szCs w:val="21"/>
          <w:highlight w:val="none"/>
        </w:rPr>
      </w:pPr>
      <w:r>
        <w:rPr>
          <w:rFonts w:hint="eastAsia"/>
          <w:color w:val="auto"/>
          <w:szCs w:val="21"/>
          <w:highlight w:val="none"/>
        </w:rPr>
        <w:t>4.乙方在任何时候都应采取各种合理的预防措施，防止工作人员发生任何违法、违禁、暴力或妨碍治安的行为。</w:t>
      </w:r>
    </w:p>
    <w:p>
      <w:pPr>
        <w:spacing w:line="360" w:lineRule="auto"/>
        <w:ind w:firstLine="525"/>
        <w:rPr>
          <w:color w:val="auto"/>
          <w:szCs w:val="21"/>
          <w:highlight w:val="none"/>
        </w:rPr>
      </w:pPr>
      <w:r>
        <w:rPr>
          <w:rFonts w:hint="eastAsia"/>
          <w:color w:val="auto"/>
          <w:szCs w:val="21"/>
          <w:highlight w:val="none"/>
        </w:rPr>
        <w:t>5.乙方参加项目实施的人员，必须接受安全技术教育，熟知和遵守生产过程中的安全技术操作规程。生产、施工现场出现违反安全的操作，项目负责人必须承担管理责任。</w:t>
      </w:r>
    </w:p>
    <w:p>
      <w:pPr>
        <w:spacing w:line="360" w:lineRule="auto"/>
        <w:ind w:firstLine="525"/>
        <w:rPr>
          <w:color w:val="auto"/>
          <w:szCs w:val="21"/>
          <w:highlight w:val="none"/>
        </w:rPr>
      </w:pPr>
      <w:r>
        <w:rPr>
          <w:rFonts w:hint="eastAsia"/>
          <w:color w:val="auto"/>
          <w:szCs w:val="21"/>
          <w:highlight w:val="none"/>
        </w:rPr>
        <w:t>6.所有仪器设备和高空作业的设备均应定期检查，并有安全员的签字记录，保证其经常处于完好状态；不合格的仪器设备和劳动保护用品严禁使用。高空作业时应严格遵守高空作业的安全守则。</w:t>
      </w:r>
    </w:p>
    <w:p>
      <w:pPr>
        <w:spacing w:line="360" w:lineRule="auto"/>
        <w:ind w:firstLine="527"/>
        <w:rPr>
          <w:color w:val="auto"/>
          <w:szCs w:val="21"/>
          <w:highlight w:val="none"/>
        </w:rPr>
      </w:pPr>
      <w:r>
        <w:rPr>
          <w:rFonts w:hint="eastAsia"/>
          <w:color w:val="auto"/>
          <w:szCs w:val="21"/>
          <w:highlight w:val="none"/>
        </w:rPr>
        <w:t>7.乙方必须按照本工程项目特点，组织制定本工程实施中的生产安全事故应急救援预案；如果发生安全事故，应按照《国务院关于特大安全事故行政责任追究的规定》以及其它有关规定，及时上报有关部门，并坚持“三不放过”的原则，严肃处理相关责任人。</w:t>
      </w:r>
    </w:p>
    <w:p>
      <w:pPr>
        <w:spacing w:line="360" w:lineRule="auto"/>
        <w:ind w:firstLine="420" w:firstLineChars="200"/>
        <w:rPr>
          <w:color w:val="auto"/>
          <w:szCs w:val="21"/>
          <w:highlight w:val="none"/>
        </w:rPr>
      </w:pPr>
      <w:r>
        <w:rPr>
          <w:rFonts w:hint="eastAsia"/>
          <w:color w:val="auto"/>
          <w:szCs w:val="21"/>
          <w:highlight w:val="none"/>
        </w:rPr>
        <w:t>8.乙方的所有安全事故、损失均由乙方自行负责。</w:t>
      </w:r>
    </w:p>
    <w:p>
      <w:pPr>
        <w:spacing w:line="360" w:lineRule="auto"/>
        <w:ind w:firstLine="527"/>
        <w:rPr>
          <w:color w:val="auto"/>
          <w:szCs w:val="21"/>
          <w:highlight w:val="none"/>
        </w:rPr>
      </w:pPr>
      <w:r>
        <w:rPr>
          <w:rFonts w:hint="eastAsia"/>
          <w:color w:val="auto"/>
          <w:szCs w:val="21"/>
          <w:highlight w:val="none"/>
        </w:rPr>
        <w:t>三、违约责任：</w:t>
      </w:r>
    </w:p>
    <w:p>
      <w:pPr>
        <w:spacing w:line="360" w:lineRule="auto"/>
        <w:ind w:firstLine="527"/>
        <w:rPr>
          <w:color w:val="auto"/>
          <w:szCs w:val="21"/>
          <w:highlight w:val="none"/>
        </w:rPr>
      </w:pPr>
      <w:r>
        <w:rPr>
          <w:rFonts w:hint="eastAsia"/>
          <w:color w:val="auto"/>
          <w:szCs w:val="21"/>
          <w:highlight w:val="none"/>
        </w:rPr>
        <w:t>如因甲方或乙方违约造成安全事故，将依法追究责任。</w:t>
      </w:r>
    </w:p>
    <w:p>
      <w:pPr>
        <w:spacing w:line="360" w:lineRule="auto"/>
        <w:ind w:firstLine="525"/>
        <w:rPr>
          <w:color w:val="auto"/>
          <w:szCs w:val="21"/>
          <w:highlight w:val="none"/>
        </w:rPr>
      </w:pPr>
      <w:r>
        <w:rPr>
          <w:rFonts w:hint="eastAsia"/>
          <w:color w:val="auto"/>
          <w:szCs w:val="21"/>
          <w:highlight w:val="none"/>
        </w:rPr>
        <w:t>四、本合同正本3份，甲、乙方及浙江精工钢结构集团有限公司各1份；副本11份，甲方3份，乙方3份，浙江精工钢结构集团有限公司5份。</w:t>
      </w:r>
    </w:p>
    <w:p>
      <w:pPr>
        <w:spacing w:line="360" w:lineRule="auto"/>
        <w:ind w:firstLine="525"/>
        <w:rPr>
          <w:color w:val="auto"/>
          <w:szCs w:val="21"/>
          <w:highlight w:val="none"/>
        </w:rPr>
      </w:pPr>
      <w:r>
        <w:rPr>
          <w:rFonts w:hint="eastAsia"/>
          <w:color w:val="auto"/>
          <w:szCs w:val="21"/>
          <w:highlight w:val="none"/>
        </w:rPr>
        <w:t>五、由双方法定代表人或其委托代理人签署并加盖单位章后生效，至合同费用结清为止失效。</w:t>
      </w:r>
    </w:p>
    <w:p>
      <w:pPr>
        <w:spacing w:line="360" w:lineRule="auto"/>
        <w:rPr>
          <w:color w:val="auto"/>
          <w:szCs w:val="21"/>
          <w:highlight w:val="none"/>
        </w:rPr>
      </w:pPr>
    </w:p>
    <w:p>
      <w:pPr>
        <w:tabs>
          <w:tab w:val="left" w:pos="5040"/>
        </w:tabs>
        <w:spacing w:line="360" w:lineRule="auto"/>
        <w:rPr>
          <w:color w:val="auto"/>
          <w:szCs w:val="21"/>
          <w:highlight w:val="none"/>
        </w:rPr>
      </w:pPr>
      <w:r>
        <w:rPr>
          <w:rFonts w:hint="eastAsia"/>
          <w:color w:val="auto"/>
          <w:szCs w:val="21"/>
          <w:highlight w:val="none"/>
        </w:rPr>
        <w:t>甲方：                                              乙方：</w:t>
      </w:r>
    </w:p>
    <w:p>
      <w:pPr>
        <w:spacing w:line="360" w:lineRule="auto"/>
        <w:rPr>
          <w:color w:val="auto"/>
          <w:szCs w:val="21"/>
          <w:highlight w:val="none"/>
          <w:u w:val="single"/>
        </w:rPr>
      </w:pPr>
      <w:r>
        <w:rPr>
          <w:rFonts w:hint="eastAsia"/>
          <w:color w:val="auto"/>
          <w:szCs w:val="21"/>
          <w:highlight w:val="none"/>
          <w:u w:val="single"/>
        </w:rPr>
        <w:t xml:space="preserve">                                </w:t>
      </w:r>
      <w:r>
        <w:rPr>
          <w:rFonts w:hint="eastAsia"/>
          <w:color w:val="auto"/>
          <w:szCs w:val="21"/>
          <w:highlight w:val="none"/>
        </w:rPr>
        <w:t>（盖单位章）</w:t>
      </w:r>
      <w:r>
        <w:rPr>
          <w:rFonts w:hint="eastAsia"/>
          <w:color w:val="auto"/>
          <w:szCs w:val="21"/>
          <w:highlight w:val="none"/>
          <w:u w:val="single"/>
        </w:rPr>
        <w:t xml:space="preserve">                     </w:t>
      </w:r>
      <w:r>
        <w:rPr>
          <w:rFonts w:hint="eastAsia"/>
          <w:color w:val="auto"/>
          <w:szCs w:val="21"/>
          <w:highlight w:val="none"/>
        </w:rPr>
        <w:t>（盖单位章）</w:t>
      </w:r>
      <w:r>
        <w:rPr>
          <w:rFonts w:hint="eastAsia"/>
          <w:color w:val="auto"/>
          <w:szCs w:val="21"/>
          <w:highlight w:val="none"/>
          <w:u w:val="single"/>
        </w:rPr>
        <w:t xml:space="preserve">         </w:t>
      </w:r>
    </w:p>
    <w:p>
      <w:pPr>
        <w:spacing w:line="360" w:lineRule="auto"/>
        <w:rPr>
          <w:color w:val="auto"/>
          <w:szCs w:val="21"/>
          <w:highlight w:val="none"/>
        </w:rPr>
      </w:pPr>
      <w:r>
        <w:rPr>
          <w:rFonts w:hint="eastAsia"/>
          <w:color w:val="auto"/>
          <w:szCs w:val="21"/>
          <w:highlight w:val="none"/>
        </w:rPr>
        <w:t>法定代表人或                                    法定代表人或</w:t>
      </w:r>
    </w:p>
    <w:p>
      <w:pPr>
        <w:spacing w:line="360" w:lineRule="auto"/>
        <w:rPr>
          <w:color w:val="auto"/>
          <w:szCs w:val="21"/>
          <w:highlight w:val="none"/>
        </w:rPr>
      </w:pPr>
      <w:r>
        <w:rPr>
          <w:rFonts w:hint="eastAsia"/>
          <w:color w:val="auto"/>
          <w:szCs w:val="21"/>
          <w:highlight w:val="none"/>
        </w:rPr>
        <w:t>其委托代理人：（签字）                  其委托代理人：（签字）</w:t>
      </w:r>
    </w:p>
    <w:p>
      <w:pPr>
        <w:spacing w:line="360" w:lineRule="auto"/>
        <w:rPr>
          <w:color w:val="auto"/>
          <w:szCs w:val="21"/>
          <w:highlight w:val="none"/>
        </w:rPr>
      </w:pPr>
      <w:r>
        <w:rPr>
          <w:rFonts w:hint="eastAsia"/>
          <w:color w:val="auto"/>
          <w:szCs w:val="21"/>
          <w:highlight w:val="none"/>
        </w:rPr>
        <w:t>日期：     年   月   日                         日期：    年   月   日</w:t>
      </w:r>
    </w:p>
    <w:p>
      <w:pPr>
        <w:spacing w:line="360" w:lineRule="auto"/>
        <w:rPr>
          <w:color w:val="auto"/>
          <w:szCs w:val="21"/>
          <w:highlight w:val="none"/>
        </w:rPr>
      </w:pPr>
    </w:p>
    <w:p>
      <w:pPr>
        <w:pStyle w:val="2"/>
        <w:spacing w:line="360" w:lineRule="auto"/>
        <w:ind w:firstLine="210"/>
        <w:rPr>
          <w:color w:val="auto"/>
          <w:sz w:val="21"/>
          <w:szCs w:val="21"/>
          <w:highlight w:val="none"/>
        </w:rPr>
      </w:pPr>
    </w:p>
    <w:p>
      <w:pPr>
        <w:spacing w:line="360" w:lineRule="auto"/>
        <w:rPr>
          <w:color w:val="auto"/>
          <w:szCs w:val="21"/>
          <w:highlight w:val="none"/>
        </w:rPr>
      </w:pPr>
    </w:p>
    <w:p>
      <w:pPr>
        <w:pStyle w:val="2"/>
        <w:spacing w:line="360" w:lineRule="auto"/>
        <w:ind w:firstLine="210"/>
        <w:rPr>
          <w:color w:val="auto"/>
          <w:sz w:val="21"/>
          <w:szCs w:val="21"/>
          <w:highlight w:val="none"/>
        </w:rPr>
      </w:pPr>
    </w:p>
    <w:p>
      <w:pPr>
        <w:spacing w:line="360" w:lineRule="auto"/>
        <w:rPr>
          <w:color w:val="auto"/>
          <w:szCs w:val="21"/>
          <w:highlight w:val="none"/>
        </w:rPr>
      </w:pPr>
    </w:p>
    <w:p>
      <w:pPr>
        <w:pStyle w:val="2"/>
        <w:spacing w:line="360" w:lineRule="auto"/>
        <w:ind w:firstLine="210"/>
        <w:rPr>
          <w:color w:val="auto"/>
          <w:sz w:val="21"/>
          <w:szCs w:val="21"/>
          <w:highlight w:val="none"/>
        </w:rPr>
      </w:pPr>
    </w:p>
    <w:p>
      <w:pPr>
        <w:spacing w:line="360" w:lineRule="auto"/>
        <w:rPr>
          <w:color w:val="auto"/>
          <w:szCs w:val="21"/>
          <w:highlight w:val="none"/>
        </w:rPr>
      </w:pPr>
    </w:p>
    <w:p>
      <w:pPr>
        <w:pStyle w:val="2"/>
        <w:spacing w:line="360" w:lineRule="auto"/>
        <w:ind w:firstLine="210"/>
        <w:rPr>
          <w:color w:val="auto"/>
          <w:sz w:val="21"/>
          <w:szCs w:val="21"/>
          <w:highlight w:val="none"/>
        </w:rPr>
      </w:pPr>
    </w:p>
    <w:p>
      <w:pPr>
        <w:tabs>
          <w:tab w:val="left" w:pos="4500"/>
          <w:tab w:val="left" w:pos="4680"/>
        </w:tabs>
        <w:spacing w:line="360" w:lineRule="auto"/>
        <w:rPr>
          <w:b/>
          <w:color w:val="auto"/>
          <w:szCs w:val="21"/>
          <w:highlight w:val="none"/>
        </w:rPr>
      </w:pPr>
    </w:p>
    <w:p>
      <w:pPr>
        <w:tabs>
          <w:tab w:val="left" w:pos="4500"/>
          <w:tab w:val="left" w:pos="4680"/>
        </w:tabs>
        <w:spacing w:line="360" w:lineRule="auto"/>
        <w:rPr>
          <w:b/>
          <w:color w:val="auto"/>
          <w:szCs w:val="21"/>
          <w:highlight w:val="none"/>
        </w:rPr>
      </w:pPr>
    </w:p>
    <w:p>
      <w:pPr>
        <w:pStyle w:val="2"/>
        <w:ind w:firstLine="341"/>
        <w:rPr>
          <w:b/>
          <w:color w:val="auto"/>
          <w:szCs w:val="21"/>
          <w:highlight w:val="none"/>
        </w:rPr>
      </w:pPr>
    </w:p>
    <w:p>
      <w:pPr>
        <w:rPr>
          <w:b/>
          <w:color w:val="auto"/>
          <w:szCs w:val="21"/>
          <w:highlight w:val="none"/>
        </w:rPr>
      </w:pPr>
    </w:p>
    <w:p>
      <w:pPr>
        <w:pStyle w:val="2"/>
        <w:ind w:firstLine="341"/>
        <w:rPr>
          <w:b/>
          <w:color w:val="auto"/>
          <w:szCs w:val="21"/>
          <w:highlight w:val="none"/>
        </w:rPr>
      </w:pPr>
    </w:p>
    <w:p>
      <w:pPr>
        <w:rPr>
          <w:b/>
          <w:color w:val="auto"/>
          <w:szCs w:val="21"/>
          <w:highlight w:val="none"/>
        </w:rPr>
      </w:pPr>
    </w:p>
    <w:p>
      <w:pPr>
        <w:pStyle w:val="2"/>
        <w:ind w:firstLine="341"/>
        <w:rPr>
          <w:b/>
          <w:color w:val="auto"/>
          <w:szCs w:val="21"/>
          <w:highlight w:val="none"/>
        </w:rPr>
      </w:pPr>
    </w:p>
    <w:p>
      <w:pPr>
        <w:rPr>
          <w:b/>
          <w:color w:val="auto"/>
          <w:szCs w:val="21"/>
          <w:highlight w:val="none"/>
        </w:rPr>
      </w:pPr>
    </w:p>
    <w:p>
      <w:pPr>
        <w:pStyle w:val="2"/>
        <w:ind w:firstLine="340"/>
        <w:rPr>
          <w:color w:val="auto"/>
          <w:highlight w:val="none"/>
        </w:rPr>
      </w:pPr>
    </w:p>
    <w:p>
      <w:pPr>
        <w:tabs>
          <w:tab w:val="left" w:pos="4500"/>
          <w:tab w:val="left" w:pos="4680"/>
        </w:tabs>
        <w:spacing w:line="360" w:lineRule="auto"/>
        <w:rPr>
          <w:b/>
          <w:color w:val="auto"/>
          <w:szCs w:val="21"/>
          <w:highlight w:val="none"/>
        </w:rPr>
      </w:pPr>
    </w:p>
    <w:p>
      <w:pPr>
        <w:tabs>
          <w:tab w:val="left" w:pos="4500"/>
          <w:tab w:val="left" w:pos="4680"/>
        </w:tabs>
        <w:spacing w:line="360" w:lineRule="auto"/>
        <w:rPr>
          <w:b/>
          <w:color w:val="auto"/>
          <w:szCs w:val="21"/>
          <w:highlight w:val="none"/>
        </w:rPr>
      </w:pPr>
    </w:p>
    <w:p>
      <w:pPr>
        <w:tabs>
          <w:tab w:val="left" w:pos="4500"/>
          <w:tab w:val="left" w:pos="4680"/>
        </w:tabs>
        <w:spacing w:line="360" w:lineRule="auto"/>
        <w:rPr>
          <w:b/>
          <w:color w:val="auto"/>
          <w:szCs w:val="21"/>
          <w:highlight w:val="none"/>
        </w:rPr>
      </w:pPr>
    </w:p>
    <w:p>
      <w:pPr>
        <w:pStyle w:val="2"/>
        <w:ind w:firstLine="341"/>
        <w:rPr>
          <w:b/>
          <w:color w:val="auto"/>
          <w:szCs w:val="21"/>
          <w:highlight w:val="none"/>
        </w:rPr>
      </w:pPr>
    </w:p>
    <w:p>
      <w:pPr>
        <w:rPr>
          <w:b/>
          <w:color w:val="auto"/>
          <w:szCs w:val="21"/>
          <w:highlight w:val="none"/>
        </w:rPr>
      </w:pPr>
    </w:p>
    <w:p>
      <w:pPr>
        <w:pStyle w:val="2"/>
        <w:ind w:firstLine="341"/>
        <w:rPr>
          <w:b/>
          <w:color w:val="auto"/>
          <w:szCs w:val="21"/>
          <w:highlight w:val="none"/>
        </w:rPr>
      </w:pPr>
    </w:p>
    <w:p>
      <w:pPr>
        <w:rPr>
          <w:b/>
          <w:color w:val="auto"/>
          <w:szCs w:val="21"/>
          <w:highlight w:val="none"/>
        </w:rPr>
      </w:pPr>
    </w:p>
    <w:p>
      <w:pPr>
        <w:pStyle w:val="2"/>
        <w:ind w:firstLine="341"/>
        <w:rPr>
          <w:b/>
          <w:color w:val="auto"/>
          <w:szCs w:val="21"/>
          <w:highlight w:val="none"/>
        </w:rPr>
      </w:pPr>
    </w:p>
    <w:p>
      <w:pPr>
        <w:rPr>
          <w:b/>
          <w:color w:val="auto"/>
          <w:szCs w:val="21"/>
          <w:highlight w:val="none"/>
        </w:rPr>
      </w:pPr>
    </w:p>
    <w:p>
      <w:pPr>
        <w:pStyle w:val="2"/>
        <w:ind w:firstLine="341"/>
        <w:rPr>
          <w:b/>
          <w:color w:val="auto"/>
          <w:szCs w:val="21"/>
          <w:highlight w:val="none"/>
        </w:rPr>
      </w:pPr>
    </w:p>
    <w:p>
      <w:pPr>
        <w:rPr>
          <w:b/>
          <w:color w:val="auto"/>
          <w:szCs w:val="21"/>
          <w:highlight w:val="none"/>
        </w:rPr>
      </w:pPr>
    </w:p>
    <w:p>
      <w:pPr>
        <w:pStyle w:val="2"/>
        <w:ind w:firstLine="341"/>
        <w:rPr>
          <w:b/>
          <w:color w:val="auto"/>
          <w:szCs w:val="21"/>
          <w:highlight w:val="none"/>
        </w:rPr>
      </w:pPr>
    </w:p>
    <w:p>
      <w:pPr>
        <w:rPr>
          <w:color w:val="auto"/>
          <w:highlight w:val="none"/>
        </w:rPr>
      </w:pPr>
    </w:p>
    <w:p>
      <w:pPr>
        <w:rPr>
          <w:b/>
          <w:color w:val="auto"/>
          <w:szCs w:val="21"/>
          <w:highlight w:val="none"/>
        </w:rPr>
      </w:pPr>
    </w:p>
    <w:p>
      <w:pPr>
        <w:tabs>
          <w:tab w:val="left" w:pos="4500"/>
          <w:tab w:val="left" w:pos="4680"/>
        </w:tabs>
        <w:spacing w:line="360" w:lineRule="auto"/>
        <w:rPr>
          <w:b/>
          <w:color w:val="auto"/>
          <w:szCs w:val="21"/>
          <w:highlight w:val="none"/>
        </w:rPr>
      </w:pPr>
    </w:p>
    <w:p>
      <w:pPr>
        <w:tabs>
          <w:tab w:val="left" w:pos="4500"/>
          <w:tab w:val="left" w:pos="4680"/>
        </w:tabs>
        <w:spacing w:line="360" w:lineRule="auto"/>
        <w:rPr>
          <w:color w:val="auto"/>
          <w:szCs w:val="21"/>
          <w:highlight w:val="none"/>
        </w:rPr>
      </w:pPr>
      <w:r>
        <w:rPr>
          <w:rFonts w:hint="eastAsia"/>
          <w:b/>
          <w:color w:val="auto"/>
          <w:szCs w:val="21"/>
          <w:highlight w:val="none"/>
        </w:rPr>
        <w:t>附件4：工程质量保修书（格式）</w:t>
      </w:r>
    </w:p>
    <w:p>
      <w:pPr>
        <w:widowControl/>
        <w:spacing w:line="360" w:lineRule="auto"/>
        <w:jc w:val="center"/>
        <w:rPr>
          <w:rFonts w:ascii="仿宋" w:hAnsi="仿宋" w:eastAsia="仿宋"/>
          <w:b/>
          <w:bCs/>
          <w:color w:val="auto"/>
          <w:szCs w:val="21"/>
          <w:highlight w:val="none"/>
        </w:rPr>
      </w:pPr>
      <w:bookmarkStart w:id="442" w:name="_Toc30226"/>
      <w:r>
        <w:rPr>
          <w:rFonts w:hint="eastAsia" w:ascii="仿宋" w:hAnsi="仿宋" w:eastAsia="仿宋"/>
          <w:b/>
          <w:bCs/>
          <w:color w:val="auto"/>
          <w:szCs w:val="21"/>
          <w:highlight w:val="none"/>
        </w:rPr>
        <w:t>质 量 保 修 书</w:t>
      </w:r>
      <w:bookmarkEnd w:id="442"/>
    </w:p>
    <w:p>
      <w:pPr>
        <w:spacing w:line="360" w:lineRule="auto"/>
        <w:ind w:firstLine="211"/>
        <w:rPr>
          <w:rFonts w:ascii="仿宋" w:hAnsi="仿宋" w:eastAsia="仿宋"/>
          <w:b/>
          <w:color w:val="auto"/>
          <w:szCs w:val="21"/>
          <w:highlight w:val="none"/>
        </w:rPr>
      </w:pPr>
      <w:r>
        <w:rPr>
          <w:rFonts w:hint="eastAsia" w:ascii="仿宋" w:hAnsi="仿宋" w:eastAsia="仿宋"/>
          <w:b/>
          <w:color w:val="auto"/>
          <w:szCs w:val="21"/>
          <w:highlight w:val="none"/>
        </w:rPr>
        <w:t>甲方（总承包单位、招标人）：</w:t>
      </w:r>
      <w:r>
        <w:rPr>
          <w:rFonts w:hint="eastAsia" w:ascii="仿宋" w:hAnsi="仿宋" w:eastAsia="仿宋"/>
          <w:b/>
          <w:color w:val="auto"/>
          <w:highlight w:val="none"/>
          <w:u w:val="single"/>
        </w:rPr>
        <w:t xml:space="preserve">                        </w:t>
      </w:r>
    </w:p>
    <w:p>
      <w:pPr>
        <w:spacing w:line="360" w:lineRule="auto"/>
        <w:ind w:firstLine="211"/>
        <w:rPr>
          <w:rFonts w:ascii="仿宋" w:hAnsi="仿宋" w:eastAsia="仿宋"/>
          <w:b/>
          <w:color w:val="auto"/>
          <w:szCs w:val="21"/>
          <w:highlight w:val="none"/>
          <w:u w:val="single"/>
        </w:rPr>
      </w:pPr>
      <w:r>
        <w:rPr>
          <w:rFonts w:hint="eastAsia" w:ascii="仿宋" w:hAnsi="仿宋" w:eastAsia="仿宋"/>
          <w:b/>
          <w:color w:val="auto"/>
          <w:szCs w:val="21"/>
          <w:highlight w:val="none"/>
        </w:rPr>
        <w:t>乙方（供应商）：</w:t>
      </w:r>
      <w:r>
        <w:rPr>
          <w:rFonts w:hint="eastAsia" w:ascii="仿宋" w:hAnsi="仿宋" w:eastAsia="仿宋"/>
          <w:b/>
          <w:color w:val="auto"/>
          <w:highlight w:val="none"/>
          <w:u w:val="single"/>
        </w:rPr>
        <w:t xml:space="preserve">                        </w:t>
      </w:r>
    </w:p>
    <w:p>
      <w:pPr>
        <w:pStyle w:val="15"/>
        <w:spacing w:line="360" w:lineRule="auto"/>
        <w:ind w:firstLine="211"/>
        <w:rPr>
          <w:rFonts w:ascii="仿宋" w:hAnsi="仿宋" w:eastAsia="仿宋"/>
          <w:b/>
          <w:color w:val="auto"/>
          <w:highlight w:val="none"/>
          <w:u w:val="single"/>
        </w:rPr>
      </w:pPr>
      <w:r>
        <w:rPr>
          <w:rFonts w:hint="eastAsia" w:ascii="仿宋" w:hAnsi="仿宋" w:eastAsia="仿宋"/>
          <w:b/>
          <w:color w:val="auto"/>
          <w:highlight w:val="none"/>
        </w:rPr>
        <w:t>丙方（业主、使用人）：</w:t>
      </w:r>
      <w:r>
        <w:rPr>
          <w:rFonts w:hint="eastAsia" w:ascii="仿宋" w:hAnsi="仿宋" w:eastAsia="仿宋"/>
          <w:b/>
          <w:color w:val="auto"/>
          <w:highlight w:val="none"/>
          <w:u w:val="single"/>
        </w:rPr>
        <w:t xml:space="preserve">                          　　 </w:t>
      </w:r>
    </w:p>
    <w:p>
      <w:pPr>
        <w:spacing w:line="360" w:lineRule="auto"/>
        <w:ind w:firstLine="210"/>
        <w:rPr>
          <w:rFonts w:ascii="仿宋" w:hAnsi="仿宋" w:eastAsia="仿宋"/>
          <w:color w:val="auto"/>
          <w:szCs w:val="21"/>
          <w:highlight w:val="none"/>
        </w:rPr>
      </w:pPr>
      <w:r>
        <w:rPr>
          <w:rFonts w:hint="eastAsia" w:ascii="仿宋" w:hAnsi="仿宋" w:eastAsia="仿宋"/>
          <w:color w:val="auto"/>
          <w:szCs w:val="21"/>
          <w:highlight w:val="none"/>
        </w:rPr>
        <w:t>为保证</w:t>
      </w:r>
      <w:r>
        <w:rPr>
          <w:rFonts w:hint="eastAsia" w:ascii="仿宋" w:hAnsi="仿宋" w:eastAsia="仿宋"/>
          <w:b/>
          <w:color w:val="auto"/>
          <w:highlight w:val="none"/>
          <w:u w:val="single"/>
        </w:rPr>
        <w:t xml:space="preserve">                        </w:t>
      </w:r>
      <w:r>
        <w:rPr>
          <w:rFonts w:hint="eastAsia" w:ascii="仿宋" w:hAnsi="仿宋" w:eastAsia="仿宋"/>
          <w:color w:val="auto"/>
          <w:szCs w:val="21"/>
          <w:highlight w:val="none"/>
          <w:u w:val="single"/>
        </w:rPr>
        <w:t>项目</w:t>
      </w:r>
      <w:r>
        <w:rPr>
          <w:rFonts w:hint="eastAsia" w:ascii="仿宋" w:hAnsi="仿宋" w:eastAsia="仿宋"/>
          <w:color w:val="auto"/>
          <w:szCs w:val="21"/>
          <w:highlight w:val="none"/>
        </w:rPr>
        <w:t>在合理使用期限内正常使用，各方经协商一致签订本质量保修书。乙方在质量保修期内按照有关管理规定及约定承担工程及设备质量保修责任。</w:t>
      </w:r>
    </w:p>
    <w:p>
      <w:pPr>
        <w:spacing w:line="360" w:lineRule="auto"/>
        <w:ind w:firstLine="211"/>
        <w:rPr>
          <w:rFonts w:ascii="仿宋" w:hAnsi="仿宋" w:eastAsia="仿宋"/>
          <w:b/>
          <w:color w:val="auto"/>
          <w:szCs w:val="21"/>
          <w:highlight w:val="none"/>
        </w:rPr>
      </w:pPr>
      <w:r>
        <w:rPr>
          <w:rFonts w:hint="eastAsia" w:ascii="仿宋" w:hAnsi="仿宋" w:eastAsia="仿宋"/>
          <w:b/>
          <w:color w:val="auto"/>
          <w:szCs w:val="21"/>
          <w:highlight w:val="none"/>
        </w:rPr>
        <w:t>一、质量保修范围和内容</w:t>
      </w:r>
    </w:p>
    <w:p>
      <w:pPr>
        <w:spacing w:line="360" w:lineRule="auto"/>
        <w:ind w:firstLine="420" w:firstLineChars="200"/>
        <w:rPr>
          <w:rFonts w:ascii="仿宋" w:hAnsi="仿宋" w:eastAsia="仿宋"/>
          <w:color w:val="auto"/>
          <w:szCs w:val="21"/>
          <w:highlight w:val="none"/>
          <w:u w:val="single"/>
        </w:rPr>
      </w:pPr>
      <w:r>
        <w:rPr>
          <w:rFonts w:hint="eastAsia" w:ascii="仿宋" w:hAnsi="仿宋" w:eastAsia="仿宋"/>
          <w:color w:val="auto"/>
          <w:szCs w:val="21"/>
          <w:highlight w:val="none"/>
        </w:rPr>
        <w:t>乙方在质量保修期内，按照有关法律、法规、规章的管理规定和双方约定，承担本工程及设备质量保修责任。具体质量保修范围双方约定如下：</w:t>
      </w:r>
      <w:r>
        <w:rPr>
          <w:rFonts w:hint="eastAsia" w:ascii="仿宋" w:hAnsi="仿宋" w:eastAsia="仿宋"/>
          <w:color w:val="auto"/>
          <w:szCs w:val="21"/>
          <w:highlight w:val="none"/>
          <w:u w:val="single"/>
        </w:rPr>
        <w:t>合同约定范围的所有项目及变更增加项目。</w:t>
      </w:r>
    </w:p>
    <w:p>
      <w:pPr>
        <w:spacing w:line="360" w:lineRule="auto"/>
        <w:ind w:firstLine="211"/>
        <w:rPr>
          <w:rFonts w:ascii="仿宋" w:hAnsi="仿宋" w:eastAsia="仿宋"/>
          <w:b/>
          <w:color w:val="auto"/>
          <w:szCs w:val="21"/>
          <w:highlight w:val="none"/>
        </w:rPr>
      </w:pPr>
      <w:r>
        <w:rPr>
          <w:rFonts w:hint="eastAsia" w:ascii="仿宋" w:hAnsi="仿宋" w:eastAsia="仿宋"/>
          <w:b/>
          <w:color w:val="auto"/>
          <w:szCs w:val="21"/>
          <w:highlight w:val="none"/>
        </w:rPr>
        <w:t>二、质量保修期</w:t>
      </w:r>
    </w:p>
    <w:p>
      <w:pPr>
        <w:spacing w:line="360" w:lineRule="auto"/>
        <w:ind w:firstLine="525" w:firstLineChars="250"/>
        <w:rPr>
          <w:rFonts w:ascii="仿宋" w:hAnsi="仿宋" w:eastAsia="仿宋"/>
          <w:color w:val="auto"/>
          <w:szCs w:val="21"/>
          <w:highlight w:val="none"/>
        </w:rPr>
      </w:pPr>
      <w:r>
        <w:rPr>
          <w:rFonts w:hint="eastAsia" w:ascii="仿宋" w:hAnsi="仿宋" w:eastAsia="仿宋"/>
          <w:color w:val="auto"/>
          <w:szCs w:val="21"/>
          <w:highlight w:val="none"/>
        </w:rPr>
        <w:t>质量保修期为，工程经竣工验收合格并移交业主且</w:t>
      </w:r>
      <w:r>
        <w:rPr>
          <w:rFonts w:hint="eastAsia" w:ascii="仿宋" w:hAnsi="仿宋" w:eastAsia="仿宋"/>
          <w:b/>
          <w:bCs/>
          <w:color w:val="auto"/>
          <w:szCs w:val="21"/>
          <w:highlight w:val="none"/>
        </w:rPr>
        <w:t>业主</w:t>
      </w:r>
      <w:r>
        <w:rPr>
          <w:rFonts w:hint="eastAsia" w:ascii="仿宋" w:hAnsi="仿宋" w:eastAsia="仿宋"/>
          <w:color w:val="auto"/>
          <w:szCs w:val="21"/>
          <w:highlight w:val="none"/>
        </w:rPr>
        <w:t xml:space="preserve">使用产品之日起算 </w:t>
      </w:r>
      <w:r>
        <w:rPr>
          <w:rFonts w:ascii="仿宋" w:hAnsi="仿宋" w:eastAsia="仿宋"/>
          <w:color w:val="auto"/>
          <w:szCs w:val="21"/>
          <w:highlight w:val="none"/>
        </w:rPr>
        <w:t xml:space="preserve">    </w:t>
      </w:r>
      <w:r>
        <w:rPr>
          <w:rFonts w:hint="eastAsia" w:ascii="仿宋" w:hAnsi="仿宋" w:eastAsia="仿宋"/>
          <w:color w:val="auto"/>
          <w:szCs w:val="21"/>
          <w:highlight w:val="none"/>
        </w:rPr>
        <w:t xml:space="preserve">个月或 </w:t>
      </w:r>
      <w:r>
        <w:rPr>
          <w:rFonts w:ascii="仿宋" w:hAnsi="仿宋" w:eastAsia="仿宋"/>
          <w:color w:val="auto"/>
          <w:szCs w:val="21"/>
          <w:highlight w:val="none"/>
        </w:rPr>
        <w:t xml:space="preserve">   </w:t>
      </w:r>
      <w:r>
        <w:rPr>
          <w:rFonts w:hint="eastAsia" w:ascii="仿宋" w:hAnsi="仿宋" w:eastAsia="仿宋"/>
          <w:color w:val="auto"/>
          <w:szCs w:val="21"/>
          <w:highlight w:val="none"/>
        </w:rPr>
        <w:t>年（质保期优惠的，在此基础上顺延，优惠期满才视为质量保修期满）。</w:t>
      </w:r>
    </w:p>
    <w:p>
      <w:pPr>
        <w:spacing w:line="360" w:lineRule="auto"/>
        <w:ind w:firstLine="210"/>
        <w:rPr>
          <w:rFonts w:ascii="仿宋" w:hAnsi="仿宋" w:eastAsia="仿宋"/>
          <w:b/>
          <w:color w:val="auto"/>
          <w:szCs w:val="21"/>
          <w:highlight w:val="none"/>
        </w:rPr>
      </w:pPr>
      <w:r>
        <w:rPr>
          <w:rFonts w:hint="eastAsia" w:ascii="仿宋" w:hAnsi="仿宋" w:eastAsia="仿宋"/>
          <w:b/>
          <w:color w:val="auto"/>
          <w:szCs w:val="21"/>
          <w:highlight w:val="none"/>
        </w:rPr>
        <w:t>三、质量保修责任</w:t>
      </w:r>
    </w:p>
    <w:p>
      <w:pPr>
        <w:spacing w:line="360" w:lineRule="auto"/>
        <w:ind w:firstLine="504" w:firstLineChars="240"/>
        <w:rPr>
          <w:rFonts w:ascii="仿宋" w:hAnsi="仿宋" w:eastAsia="仿宋"/>
          <w:color w:val="auto"/>
          <w:szCs w:val="21"/>
          <w:highlight w:val="none"/>
        </w:rPr>
      </w:pPr>
      <w:r>
        <w:rPr>
          <w:rFonts w:hint="eastAsia" w:ascii="仿宋" w:hAnsi="仿宋" w:eastAsia="仿宋"/>
          <w:color w:val="auto"/>
          <w:szCs w:val="21"/>
          <w:highlight w:val="none"/>
        </w:rPr>
        <w:t xml:space="preserve"> 1．在质量保证期之内，乙方对由于产品设计、工艺、材料、配套件的缺陷及其安装质量而造成的任何产品质量问题或故障负全部责任。</w:t>
      </w:r>
    </w:p>
    <w:p>
      <w:pPr>
        <w:spacing w:line="360" w:lineRule="auto"/>
        <w:ind w:left="105" w:leftChars="50" w:firstLine="430" w:firstLineChars="205"/>
        <w:rPr>
          <w:rFonts w:ascii="仿宋" w:hAnsi="仿宋" w:eastAsia="仿宋"/>
          <w:color w:val="auto"/>
          <w:szCs w:val="21"/>
          <w:highlight w:val="none"/>
        </w:rPr>
      </w:pPr>
      <w:r>
        <w:rPr>
          <w:rFonts w:hint="eastAsia" w:ascii="仿宋" w:hAnsi="仿宋" w:eastAsia="仿宋"/>
          <w:color w:val="auto"/>
          <w:szCs w:val="21"/>
          <w:highlight w:val="none"/>
        </w:rPr>
        <w:t>2．属于保修范围、内容的项目，乙方应当在接到保修通知起</w:t>
      </w:r>
      <w:r>
        <w:rPr>
          <w:rFonts w:hint="eastAsia" w:ascii="仿宋" w:hAnsi="仿宋" w:eastAsia="仿宋"/>
          <w:bCs/>
          <w:color w:val="auto"/>
          <w:szCs w:val="21"/>
          <w:highlight w:val="none"/>
        </w:rPr>
        <w:t>2小时内</w:t>
      </w:r>
      <w:r>
        <w:rPr>
          <w:rFonts w:hint="eastAsia" w:ascii="仿宋" w:hAnsi="仿宋" w:eastAsia="仿宋"/>
          <w:color w:val="auto"/>
          <w:szCs w:val="21"/>
          <w:highlight w:val="none"/>
        </w:rPr>
        <w:t>赶到现场进行维修，并提供不间断的服务直到结束。质保期内乙方须安排专业维保人员驻场，驻场人员数量及资质须满足丙方需求并获得书面审批。</w:t>
      </w:r>
    </w:p>
    <w:p>
      <w:pPr>
        <w:spacing w:line="360" w:lineRule="auto"/>
        <w:ind w:firstLine="525" w:firstLineChars="250"/>
        <w:rPr>
          <w:rFonts w:ascii="仿宋" w:hAnsi="仿宋" w:eastAsia="仿宋"/>
          <w:color w:val="auto"/>
          <w:szCs w:val="21"/>
          <w:highlight w:val="none"/>
        </w:rPr>
      </w:pPr>
      <w:r>
        <w:rPr>
          <w:rFonts w:hint="eastAsia" w:ascii="仿宋" w:hAnsi="仿宋" w:eastAsia="仿宋"/>
          <w:color w:val="auto"/>
          <w:szCs w:val="21"/>
          <w:highlight w:val="none"/>
        </w:rPr>
        <w:t>3．如设备暂时不能修复，乙方应做好故障设备的相关的围挡保护及明显的故障告示通知，直至故障设备完全修复为止。</w:t>
      </w:r>
    </w:p>
    <w:p>
      <w:pPr>
        <w:spacing w:line="360" w:lineRule="auto"/>
        <w:ind w:firstLine="495" w:firstLineChars="236"/>
        <w:rPr>
          <w:rFonts w:ascii="仿宋" w:hAnsi="仿宋" w:eastAsia="仿宋"/>
          <w:color w:val="auto"/>
          <w:szCs w:val="21"/>
          <w:highlight w:val="none"/>
        </w:rPr>
      </w:pPr>
      <w:r>
        <w:rPr>
          <w:rFonts w:hint="eastAsia" w:ascii="仿宋" w:hAnsi="仿宋" w:eastAsia="仿宋"/>
          <w:color w:val="auto"/>
          <w:szCs w:val="21"/>
          <w:highlight w:val="none"/>
        </w:rPr>
        <w:t xml:space="preserve">4. 乙方不在约定期限内派人保修的，，甲、丙方可以委托他人修理，由此产生的费用从质量保修金内扣除。 </w:t>
      </w:r>
    </w:p>
    <w:p>
      <w:pPr>
        <w:spacing w:line="360" w:lineRule="auto"/>
        <w:ind w:firstLine="495" w:firstLineChars="236"/>
        <w:rPr>
          <w:rFonts w:ascii="仿宋" w:hAnsi="仿宋" w:eastAsia="仿宋"/>
          <w:color w:val="auto"/>
          <w:szCs w:val="21"/>
          <w:highlight w:val="none"/>
        </w:rPr>
      </w:pPr>
      <w:r>
        <w:rPr>
          <w:rFonts w:hint="eastAsia" w:ascii="仿宋" w:hAnsi="仿宋" w:eastAsia="仿宋"/>
          <w:color w:val="auto"/>
          <w:szCs w:val="21"/>
          <w:highlight w:val="none"/>
        </w:rPr>
        <w:t>5. 每次维修及维保好后，乙方需一式两份报告给甲、丙方，包括故障原因，解决措施（或维保内容），完成修理（或维保）所费时间及恢复正常运行日期。</w:t>
      </w:r>
    </w:p>
    <w:p>
      <w:pPr>
        <w:spacing w:line="360" w:lineRule="auto"/>
        <w:ind w:firstLine="495" w:firstLineChars="236"/>
        <w:rPr>
          <w:rFonts w:ascii="仿宋" w:hAnsi="仿宋" w:eastAsia="仿宋"/>
          <w:color w:val="auto"/>
          <w:szCs w:val="21"/>
          <w:highlight w:val="none"/>
        </w:rPr>
      </w:pPr>
      <w:r>
        <w:rPr>
          <w:rFonts w:hint="eastAsia" w:ascii="仿宋" w:hAnsi="仿宋" w:eastAsia="仿宋"/>
          <w:color w:val="auto"/>
          <w:szCs w:val="21"/>
          <w:highlight w:val="none"/>
        </w:rPr>
        <w:t>6. 乙方如未按上述要求履行保修义务，每违反一次，从质量保修金中扣除违约金壹仟元整（1000.00元）；</w:t>
      </w:r>
    </w:p>
    <w:p>
      <w:pPr>
        <w:snapToGrid w:val="0"/>
        <w:spacing w:line="360" w:lineRule="auto"/>
        <w:ind w:firstLine="420" w:firstLineChars="200"/>
        <w:rPr>
          <w:rFonts w:ascii="仿宋" w:hAnsi="仿宋" w:eastAsia="仿宋"/>
          <w:color w:val="auto"/>
          <w:szCs w:val="21"/>
          <w:highlight w:val="none"/>
        </w:rPr>
      </w:pPr>
      <w:r>
        <w:rPr>
          <w:rFonts w:hint="eastAsia" w:ascii="仿宋" w:hAnsi="仿宋" w:eastAsia="仿宋"/>
          <w:color w:val="auto"/>
          <w:szCs w:val="21"/>
          <w:highlight w:val="none"/>
        </w:rPr>
        <w:t>7、在质保期结束时，须由专业工程师对设备进行另一次测试，任何故障须由乙方自费解决并取得甲、丙方的同意。</w:t>
      </w:r>
    </w:p>
    <w:p>
      <w:pPr>
        <w:snapToGrid w:val="0"/>
        <w:spacing w:line="360" w:lineRule="auto"/>
        <w:ind w:firstLine="420" w:firstLineChars="200"/>
        <w:rPr>
          <w:rFonts w:ascii="仿宋" w:hAnsi="仿宋" w:eastAsia="仿宋"/>
          <w:color w:val="auto"/>
          <w:szCs w:val="21"/>
          <w:highlight w:val="none"/>
        </w:rPr>
      </w:pPr>
      <w:r>
        <w:rPr>
          <w:rFonts w:hint="eastAsia" w:ascii="仿宋" w:hAnsi="仿宋" w:eastAsia="仿宋"/>
          <w:color w:val="auto"/>
          <w:szCs w:val="21"/>
          <w:highlight w:val="none"/>
        </w:rPr>
        <w:t>8、在质保期结束前，乙方需按照设备检验检测要求对设备进行一次检验，并取得相关管理部门颁发的检验合格证，相关费用由乙方承担。</w:t>
      </w:r>
    </w:p>
    <w:p>
      <w:pPr>
        <w:spacing w:line="360" w:lineRule="auto"/>
        <w:ind w:firstLine="210"/>
        <w:rPr>
          <w:rFonts w:ascii="仿宋" w:hAnsi="仿宋" w:eastAsia="仿宋"/>
          <w:color w:val="auto"/>
          <w:szCs w:val="21"/>
          <w:highlight w:val="none"/>
        </w:rPr>
      </w:pPr>
      <w:r>
        <w:rPr>
          <w:rFonts w:hint="eastAsia" w:ascii="仿宋" w:hAnsi="仿宋" w:eastAsia="仿宋"/>
          <w:color w:val="auto"/>
          <w:szCs w:val="21"/>
          <w:highlight w:val="none"/>
        </w:rPr>
        <w:t xml:space="preserve">  9、保修费用由乙方承担。</w:t>
      </w:r>
    </w:p>
    <w:p>
      <w:pPr>
        <w:spacing w:line="360" w:lineRule="auto"/>
        <w:ind w:firstLine="498" w:firstLineChars="236"/>
        <w:rPr>
          <w:rFonts w:ascii="仿宋" w:hAnsi="仿宋" w:eastAsia="仿宋"/>
          <w:b/>
          <w:color w:val="auto"/>
          <w:szCs w:val="21"/>
          <w:highlight w:val="none"/>
        </w:rPr>
      </w:pPr>
      <w:r>
        <w:rPr>
          <w:rFonts w:hint="eastAsia" w:ascii="仿宋" w:hAnsi="仿宋" w:eastAsia="仿宋"/>
          <w:b/>
          <w:color w:val="auto"/>
          <w:szCs w:val="21"/>
          <w:highlight w:val="none"/>
        </w:rPr>
        <w:t>四、质量保修金的支付</w:t>
      </w:r>
    </w:p>
    <w:p>
      <w:pPr>
        <w:spacing w:line="360" w:lineRule="auto"/>
        <w:ind w:firstLine="210"/>
        <w:rPr>
          <w:rFonts w:ascii="仿宋" w:hAnsi="仿宋" w:eastAsia="仿宋"/>
          <w:color w:val="auto"/>
          <w:szCs w:val="21"/>
          <w:highlight w:val="none"/>
          <w:u w:val="single"/>
        </w:rPr>
      </w:pPr>
      <w:r>
        <w:rPr>
          <w:rFonts w:hint="eastAsia" w:ascii="仿宋" w:hAnsi="仿宋" w:eastAsia="仿宋"/>
          <w:color w:val="auto"/>
          <w:szCs w:val="21"/>
          <w:highlight w:val="none"/>
        </w:rPr>
        <w:t>本项目质量保修金为结算总价款的</w:t>
      </w:r>
      <w:r>
        <w:rPr>
          <w:rFonts w:hint="eastAsia" w:ascii="仿宋" w:hAnsi="仿宋" w:eastAsia="仿宋"/>
          <w:color w:val="auto"/>
          <w:szCs w:val="21"/>
          <w:highlight w:val="none"/>
          <w:u w:val="single"/>
        </w:rPr>
        <w:t xml:space="preserve">2.5 </w:t>
      </w:r>
      <w:r>
        <w:rPr>
          <w:rFonts w:hint="eastAsia" w:ascii="仿宋" w:hAnsi="仿宋" w:eastAsia="仿宋"/>
          <w:color w:val="auto"/>
          <w:szCs w:val="21"/>
          <w:highlight w:val="none"/>
        </w:rPr>
        <w:t>%，在工程竣工结算时一次性扣留。质量保修金返还时</w:t>
      </w:r>
      <w:r>
        <w:rPr>
          <w:rFonts w:hint="eastAsia" w:ascii="仿宋" w:hAnsi="仿宋" w:eastAsia="仿宋"/>
          <w:color w:val="auto"/>
          <w:szCs w:val="21"/>
          <w:highlight w:val="none"/>
          <w:u w:val="single"/>
        </w:rPr>
        <w:t>不计银行利息。</w:t>
      </w:r>
    </w:p>
    <w:p>
      <w:pPr>
        <w:spacing w:line="360" w:lineRule="auto"/>
        <w:ind w:firstLine="413" w:firstLineChars="196"/>
        <w:rPr>
          <w:rFonts w:ascii="仿宋" w:hAnsi="仿宋" w:eastAsia="仿宋"/>
          <w:b/>
          <w:color w:val="auto"/>
          <w:szCs w:val="21"/>
          <w:highlight w:val="none"/>
        </w:rPr>
      </w:pPr>
      <w:r>
        <w:rPr>
          <w:rFonts w:hint="eastAsia" w:ascii="仿宋" w:hAnsi="仿宋" w:eastAsia="仿宋"/>
          <w:b/>
          <w:color w:val="auto"/>
          <w:szCs w:val="21"/>
          <w:highlight w:val="none"/>
        </w:rPr>
        <w:t>五、质量保修金的返还</w:t>
      </w:r>
    </w:p>
    <w:p>
      <w:pPr>
        <w:spacing w:line="360" w:lineRule="auto"/>
        <w:ind w:firstLine="495" w:firstLineChars="236"/>
        <w:rPr>
          <w:rFonts w:ascii="仿宋" w:hAnsi="仿宋" w:eastAsia="仿宋"/>
          <w:color w:val="auto"/>
          <w:szCs w:val="21"/>
          <w:highlight w:val="none"/>
          <w:u w:val="single"/>
        </w:rPr>
      </w:pPr>
      <w:r>
        <w:rPr>
          <w:rFonts w:hint="eastAsia" w:ascii="仿宋" w:hAnsi="仿宋" w:eastAsia="仿宋"/>
          <w:color w:val="auto"/>
          <w:szCs w:val="21"/>
          <w:highlight w:val="none"/>
          <w:u w:val="single"/>
        </w:rPr>
        <w:t>质量保修期满后，经甲、丙方组织验收，如合同约定范围的所有项目及变更增加项目无任何产品质量问题或故障，丙方通知甲方在扣除相应的维修保养违约金和相应赔偿金（如有）后，30日历天内返还剩余质量保修金（不计息）。</w:t>
      </w:r>
    </w:p>
    <w:p>
      <w:pPr>
        <w:spacing w:line="360" w:lineRule="auto"/>
        <w:ind w:firstLine="413" w:firstLineChars="196"/>
        <w:rPr>
          <w:rFonts w:ascii="仿宋" w:hAnsi="仿宋" w:eastAsia="仿宋"/>
          <w:b/>
          <w:color w:val="auto"/>
          <w:szCs w:val="21"/>
          <w:highlight w:val="none"/>
        </w:rPr>
      </w:pPr>
      <w:r>
        <w:rPr>
          <w:rFonts w:hint="eastAsia" w:ascii="仿宋" w:hAnsi="仿宋" w:eastAsia="仿宋"/>
          <w:b/>
          <w:color w:val="auto"/>
          <w:szCs w:val="21"/>
          <w:highlight w:val="none"/>
        </w:rPr>
        <w:t>六、其他</w:t>
      </w:r>
    </w:p>
    <w:p>
      <w:pPr>
        <w:spacing w:line="360" w:lineRule="auto"/>
        <w:ind w:firstLine="210"/>
        <w:rPr>
          <w:rFonts w:ascii="仿宋" w:hAnsi="仿宋" w:eastAsia="仿宋"/>
          <w:color w:val="auto"/>
          <w:szCs w:val="21"/>
          <w:highlight w:val="none"/>
          <w:u w:val="single"/>
        </w:rPr>
      </w:pPr>
      <w:r>
        <w:rPr>
          <w:rFonts w:hint="eastAsia" w:ascii="仿宋" w:hAnsi="仿宋" w:eastAsia="仿宋"/>
          <w:color w:val="auto"/>
          <w:szCs w:val="21"/>
          <w:highlight w:val="none"/>
        </w:rPr>
        <w:t>各方约定的其他工程质量保修事项：</w:t>
      </w:r>
      <w:r>
        <w:rPr>
          <w:rFonts w:hint="eastAsia" w:ascii="仿宋" w:hAnsi="仿宋" w:eastAsia="仿宋"/>
          <w:color w:val="auto"/>
          <w:szCs w:val="21"/>
          <w:highlight w:val="none"/>
          <w:u w:val="single"/>
        </w:rPr>
        <w:t xml:space="preserve"> 按有关规定执行。</w:t>
      </w:r>
    </w:p>
    <w:p>
      <w:pPr>
        <w:pStyle w:val="3"/>
        <w:rPr>
          <w:color w:val="auto"/>
          <w:highlight w:val="none"/>
        </w:rPr>
      </w:pPr>
      <w:r>
        <w:rPr>
          <w:rFonts w:hint="eastAsia"/>
          <w:color w:val="auto"/>
          <w:highlight w:val="none"/>
        </w:rPr>
        <w:t>甲方对乙方的保修义务对丙方承担连带责任，丙方有权直接在应支付给甲方的款项中扣除乙方应承担的违约金等责任。</w:t>
      </w:r>
    </w:p>
    <w:p>
      <w:pPr>
        <w:rPr>
          <w:rFonts w:ascii="仿宋" w:hAnsi="仿宋" w:eastAsia="仿宋"/>
          <w:color w:val="auto"/>
          <w:szCs w:val="21"/>
          <w:highlight w:val="none"/>
        </w:rPr>
      </w:pPr>
    </w:p>
    <w:p>
      <w:pPr>
        <w:ind w:firstLine="420" w:firstLineChars="200"/>
        <w:rPr>
          <w:rFonts w:ascii="仿宋" w:hAnsi="仿宋" w:eastAsia="仿宋"/>
          <w:color w:val="auto"/>
          <w:szCs w:val="21"/>
          <w:highlight w:val="none"/>
        </w:rPr>
      </w:pPr>
      <w:r>
        <w:rPr>
          <w:rFonts w:hint="eastAsia" w:ascii="仿宋" w:hAnsi="仿宋" w:eastAsia="仿宋"/>
          <w:color w:val="auto"/>
          <w:szCs w:val="21"/>
          <w:highlight w:val="none"/>
        </w:rPr>
        <w:t xml:space="preserve">甲方：（盖章）　　　　　　　　　　　　 </w:t>
      </w:r>
    </w:p>
    <w:p>
      <w:pPr>
        <w:pStyle w:val="25"/>
        <w:shd w:val="clear" w:color="auto" w:fill="FFFFFF"/>
        <w:spacing w:before="0" w:beforeAutospacing="0" w:after="0" w:afterAutospacing="0" w:line="360" w:lineRule="auto"/>
        <w:ind w:firstLine="210"/>
        <w:rPr>
          <w:rFonts w:ascii="仿宋" w:hAnsi="仿宋" w:eastAsia="仿宋"/>
          <w:color w:val="auto"/>
          <w:sz w:val="21"/>
          <w:szCs w:val="21"/>
          <w:highlight w:val="none"/>
        </w:rPr>
      </w:pPr>
      <w:r>
        <w:rPr>
          <w:rFonts w:hint="eastAsia" w:ascii="仿宋" w:hAnsi="仿宋" w:eastAsia="仿宋"/>
          <w:color w:val="auto"/>
          <w:sz w:val="21"/>
          <w:szCs w:val="21"/>
          <w:highlight w:val="none"/>
        </w:rPr>
        <w:t xml:space="preserve">　法定代表人或授权代表：　　　　　　　　　　　 </w:t>
      </w:r>
    </w:p>
    <w:p>
      <w:pPr>
        <w:pStyle w:val="25"/>
        <w:shd w:val="clear" w:color="auto" w:fill="FFFFFF"/>
        <w:spacing w:before="0" w:beforeAutospacing="0" w:after="0" w:afterAutospacing="0" w:line="360" w:lineRule="auto"/>
        <w:ind w:firstLine="210"/>
        <w:rPr>
          <w:rFonts w:ascii="仿宋" w:hAnsi="仿宋" w:eastAsia="仿宋"/>
          <w:color w:val="auto"/>
          <w:sz w:val="21"/>
          <w:szCs w:val="21"/>
          <w:highlight w:val="none"/>
        </w:rPr>
      </w:pPr>
      <w:r>
        <w:rPr>
          <w:rFonts w:hint="eastAsia" w:ascii="仿宋" w:hAnsi="仿宋" w:eastAsia="仿宋"/>
          <w:color w:val="auto"/>
          <w:sz w:val="21"/>
          <w:szCs w:val="21"/>
          <w:highlight w:val="none"/>
        </w:rPr>
        <w:t xml:space="preserve">　地址：　　　　　　　　　　　　　　　　　　　 </w:t>
      </w:r>
    </w:p>
    <w:p>
      <w:pPr>
        <w:rPr>
          <w:rFonts w:ascii="仿宋" w:hAnsi="仿宋" w:eastAsia="仿宋"/>
          <w:color w:val="auto"/>
          <w:szCs w:val="21"/>
          <w:highlight w:val="none"/>
        </w:rPr>
      </w:pPr>
      <w:r>
        <w:rPr>
          <w:rFonts w:hint="eastAsia" w:ascii="仿宋" w:hAnsi="仿宋" w:eastAsia="仿宋"/>
          <w:color w:val="auto"/>
          <w:szCs w:val="21"/>
          <w:highlight w:val="none"/>
        </w:rPr>
        <w:t>　　电话：</w:t>
      </w:r>
    </w:p>
    <w:p>
      <w:pPr>
        <w:rPr>
          <w:rFonts w:ascii="仿宋" w:hAnsi="仿宋" w:eastAsia="仿宋"/>
          <w:color w:val="auto"/>
          <w:szCs w:val="21"/>
          <w:highlight w:val="none"/>
        </w:rPr>
      </w:pPr>
    </w:p>
    <w:p>
      <w:pPr>
        <w:ind w:firstLine="420" w:firstLineChars="200"/>
        <w:rPr>
          <w:rFonts w:ascii="仿宋" w:hAnsi="仿宋" w:eastAsia="仿宋"/>
          <w:color w:val="auto"/>
          <w:szCs w:val="21"/>
          <w:highlight w:val="none"/>
        </w:rPr>
      </w:pPr>
      <w:r>
        <w:rPr>
          <w:rFonts w:hint="eastAsia" w:ascii="仿宋" w:hAnsi="仿宋" w:eastAsia="仿宋"/>
          <w:color w:val="auto"/>
          <w:szCs w:val="21"/>
          <w:highlight w:val="none"/>
        </w:rPr>
        <w:t xml:space="preserve">乙方：（盖章）　　　　　　　　　　　　 </w:t>
      </w:r>
    </w:p>
    <w:p>
      <w:pPr>
        <w:pStyle w:val="25"/>
        <w:shd w:val="clear" w:color="auto" w:fill="FFFFFF"/>
        <w:spacing w:before="0" w:beforeAutospacing="0" w:after="0" w:afterAutospacing="0" w:line="360" w:lineRule="auto"/>
        <w:ind w:firstLine="210"/>
        <w:rPr>
          <w:rFonts w:ascii="仿宋" w:hAnsi="仿宋" w:eastAsia="仿宋"/>
          <w:color w:val="auto"/>
          <w:sz w:val="21"/>
          <w:szCs w:val="21"/>
          <w:highlight w:val="none"/>
        </w:rPr>
      </w:pPr>
      <w:r>
        <w:rPr>
          <w:rFonts w:hint="eastAsia" w:ascii="仿宋" w:hAnsi="仿宋" w:eastAsia="仿宋"/>
          <w:color w:val="auto"/>
          <w:sz w:val="21"/>
          <w:szCs w:val="21"/>
          <w:highlight w:val="none"/>
        </w:rPr>
        <w:t xml:space="preserve">　法定代表人或授权代表：　　　　　　　　　　　 </w:t>
      </w:r>
    </w:p>
    <w:p>
      <w:pPr>
        <w:pStyle w:val="25"/>
        <w:shd w:val="clear" w:color="auto" w:fill="FFFFFF"/>
        <w:spacing w:before="0" w:beforeAutospacing="0" w:after="0" w:afterAutospacing="0" w:line="360" w:lineRule="auto"/>
        <w:ind w:firstLine="210"/>
        <w:rPr>
          <w:rFonts w:ascii="仿宋" w:hAnsi="仿宋" w:eastAsia="仿宋"/>
          <w:color w:val="auto"/>
          <w:sz w:val="21"/>
          <w:szCs w:val="21"/>
          <w:highlight w:val="none"/>
        </w:rPr>
      </w:pPr>
      <w:r>
        <w:rPr>
          <w:rFonts w:hint="eastAsia" w:ascii="仿宋" w:hAnsi="仿宋" w:eastAsia="仿宋"/>
          <w:color w:val="auto"/>
          <w:sz w:val="21"/>
          <w:szCs w:val="21"/>
          <w:highlight w:val="none"/>
        </w:rPr>
        <w:t xml:space="preserve">　地址：　　　　　　　　　　　　　　　　　　　 </w:t>
      </w:r>
    </w:p>
    <w:p>
      <w:pPr>
        <w:pStyle w:val="25"/>
        <w:shd w:val="clear" w:color="auto" w:fill="FFFFFF"/>
        <w:spacing w:before="0" w:beforeAutospacing="0" w:after="0" w:afterAutospacing="0" w:line="360" w:lineRule="auto"/>
        <w:ind w:firstLine="210"/>
        <w:rPr>
          <w:rFonts w:ascii="仿宋" w:hAnsi="仿宋" w:eastAsia="仿宋"/>
          <w:color w:val="auto"/>
          <w:sz w:val="21"/>
          <w:szCs w:val="21"/>
          <w:highlight w:val="none"/>
        </w:rPr>
      </w:pPr>
      <w:r>
        <w:rPr>
          <w:rFonts w:hint="eastAsia" w:ascii="仿宋" w:hAnsi="仿宋" w:eastAsia="仿宋"/>
          <w:color w:val="auto"/>
          <w:sz w:val="21"/>
          <w:szCs w:val="21"/>
          <w:highlight w:val="none"/>
        </w:rPr>
        <w:t xml:space="preserve">　电话：　　　　　　　　　　　　　　　　　　　 </w:t>
      </w:r>
    </w:p>
    <w:p>
      <w:pPr>
        <w:pStyle w:val="25"/>
        <w:shd w:val="clear" w:color="auto" w:fill="FFFFFF"/>
        <w:spacing w:before="0" w:beforeAutospacing="0" w:after="0" w:afterAutospacing="0" w:line="360" w:lineRule="auto"/>
        <w:ind w:firstLine="210"/>
        <w:rPr>
          <w:rFonts w:ascii="仿宋" w:hAnsi="仿宋" w:eastAsia="仿宋"/>
          <w:color w:val="auto"/>
          <w:sz w:val="21"/>
          <w:szCs w:val="21"/>
          <w:highlight w:val="none"/>
        </w:rPr>
      </w:pPr>
      <w:r>
        <w:rPr>
          <w:rFonts w:hint="eastAsia" w:ascii="仿宋" w:hAnsi="仿宋" w:eastAsia="仿宋"/>
          <w:color w:val="auto"/>
          <w:sz w:val="21"/>
          <w:szCs w:val="21"/>
          <w:highlight w:val="none"/>
        </w:rPr>
        <w:t xml:space="preserve">　　　　　  </w:t>
      </w:r>
    </w:p>
    <w:p>
      <w:pPr>
        <w:spacing w:line="360" w:lineRule="auto"/>
        <w:ind w:firstLine="420" w:firstLineChars="200"/>
        <w:rPr>
          <w:rFonts w:ascii="仿宋" w:hAnsi="仿宋" w:eastAsia="仿宋"/>
          <w:color w:val="auto"/>
          <w:szCs w:val="21"/>
          <w:highlight w:val="none"/>
        </w:rPr>
      </w:pPr>
    </w:p>
    <w:p>
      <w:pPr>
        <w:pStyle w:val="25"/>
        <w:shd w:val="clear" w:color="auto" w:fill="FFFFFF"/>
        <w:spacing w:before="0" w:beforeAutospacing="0" w:after="0" w:afterAutospacing="0" w:line="360" w:lineRule="auto"/>
        <w:ind w:firstLine="420" w:firstLineChars="200"/>
        <w:rPr>
          <w:rFonts w:ascii="仿宋" w:hAnsi="仿宋" w:eastAsia="仿宋"/>
          <w:color w:val="auto"/>
          <w:sz w:val="21"/>
          <w:szCs w:val="21"/>
          <w:highlight w:val="none"/>
        </w:rPr>
      </w:pPr>
      <w:r>
        <w:rPr>
          <w:rFonts w:hint="eastAsia" w:ascii="仿宋" w:hAnsi="仿宋" w:eastAsia="仿宋"/>
          <w:color w:val="auto"/>
          <w:sz w:val="21"/>
          <w:szCs w:val="21"/>
          <w:highlight w:val="none"/>
        </w:rPr>
        <w:t xml:space="preserve">  丙方：（盖章）</w:t>
      </w:r>
    </w:p>
    <w:p>
      <w:pPr>
        <w:pStyle w:val="25"/>
        <w:shd w:val="clear" w:color="auto" w:fill="FFFFFF"/>
        <w:spacing w:before="0" w:beforeAutospacing="0" w:after="0" w:afterAutospacing="0" w:line="360" w:lineRule="auto"/>
        <w:ind w:firstLine="420" w:firstLineChars="200"/>
        <w:rPr>
          <w:rFonts w:ascii="仿宋" w:hAnsi="仿宋" w:eastAsia="仿宋"/>
          <w:color w:val="auto"/>
          <w:sz w:val="21"/>
          <w:szCs w:val="21"/>
          <w:highlight w:val="none"/>
        </w:rPr>
      </w:pPr>
      <w:r>
        <w:rPr>
          <w:rFonts w:hint="eastAsia" w:ascii="仿宋" w:hAnsi="仿宋" w:eastAsia="仿宋"/>
          <w:color w:val="auto"/>
          <w:sz w:val="21"/>
          <w:szCs w:val="21"/>
          <w:highlight w:val="none"/>
        </w:rPr>
        <w:t xml:space="preserve">  法定代表人或授权代表：</w:t>
      </w:r>
    </w:p>
    <w:p>
      <w:pPr>
        <w:pStyle w:val="25"/>
        <w:shd w:val="clear" w:color="auto" w:fill="FFFFFF"/>
        <w:spacing w:before="0" w:beforeAutospacing="0" w:after="0" w:afterAutospacing="0" w:line="360" w:lineRule="auto"/>
        <w:ind w:firstLine="420" w:firstLineChars="200"/>
        <w:rPr>
          <w:rFonts w:ascii="仿宋" w:hAnsi="仿宋" w:eastAsia="仿宋"/>
          <w:color w:val="auto"/>
          <w:sz w:val="21"/>
          <w:szCs w:val="21"/>
          <w:highlight w:val="none"/>
        </w:rPr>
      </w:pPr>
      <w:r>
        <w:rPr>
          <w:rFonts w:hint="eastAsia" w:ascii="仿宋" w:hAnsi="仿宋" w:eastAsia="仿宋"/>
          <w:color w:val="auto"/>
          <w:sz w:val="21"/>
          <w:szCs w:val="21"/>
          <w:highlight w:val="none"/>
        </w:rPr>
        <w:t xml:space="preserve">  地址：</w:t>
      </w:r>
    </w:p>
    <w:p>
      <w:pPr>
        <w:pStyle w:val="25"/>
        <w:shd w:val="clear" w:color="auto" w:fill="FFFFFF"/>
        <w:spacing w:before="0" w:beforeAutospacing="0" w:after="0" w:afterAutospacing="0" w:line="360" w:lineRule="auto"/>
        <w:ind w:firstLine="420" w:firstLineChars="200"/>
        <w:rPr>
          <w:rFonts w:ascii="仿宋" w:hAnsi="仿宋" w:eastAsia="仿宋"/>
          <w:color w:val="auto"/>
          <w:sz w:val="21"/>
          <w:szCs w:val="21"/>
          <w:highlight w:val="none"/>
        </w:rPr>
      </w:pPr>
      <w:r>
        <w:rPr>
          <w:rFonts w:hint="eastAsia" w:ascii="仿宋" w:hAnsi="仿宋" w:eastAsia="仿宋"/>
          <w:color w:val="auto"/>
          <w:sz w:val="21"/>
          <w:szCs w:val="21"/>
          <w:highlight w:val="none"/>
        </w:rPr>
        <w:t xml:space="preserve">  电话：</w:t>
      </w:r>
    </w:p>
    <w:p>
      <w:pPr>
        <w:pStyle w:val="25"/>
        <w:shd w:val="clear" w:color="auto" w:fill="FFFFFF"/>
        <w:spacing w:before="0" w:beforeAutospacing="0" w:after="0" w:afterAutospacing="0" w:line="360" w:lineRule="auto"/>
        <w:ind w:firstLine="420" w:firstLineChars="200"/>
        <w:rPr>
          <w:rFonts w:ascii="仿宋" w:hAnsi="仿宋" w:eastAsia="仿宋"/>
          <w:color w:val="auto"/>
          <w:sz w:val="21"/>
          <w:szCs w:val="21"/>
          <w:highlight w:val="none"/>
        </w:rPr>
      </w:pPr>
    </w:p>
    <w:p>
      <w:pPr>
        <w:pStyle w:val="25"/>
        <w:shd w:val="clear" w:color="auto" w:fill="FFFFFF"/>
        <w:spacing w:before="0" w:beforeAutospacing="0" w:after="0" w:afterAutospacing="0" w:line="360" w:lineRule="auto"/>
        <w:ind w:firstLine="420" w:firstLineChars="200"/>
        <w:rPr>
          <w:rFonts w:ascii="仿宋" w:hAnsi="仿宋" w:eastAsia="仿宋"/>
          <w:color w:val="auto"/>
          <w:sz w:val="21"/>
          <w:szCs w:val="21"/>
          <w:highlight w:val="none"/>
        </w:rPr>
      </w:pPr>
    </w:p>
    <w:p>
      <w:pPr>
        <w:pStyle w:val="25"/>
        <w:shd w:val="clear" w:color="auto" w:fill="FFFFFF"/>
        <w:spacing w:before="0" w:beforeAutospacing="0" w:after="0" w:afterAutospacing="0" w:line="360" w:lineRule="auto"/>
        <w:ind w:firstLine="420" w:firstLineChars="200"/>
        <w:rPr>
          <w:rFonts w:ascii="仿宋" w:hAnsi="仿宋" w:eastAsia="仿宋"/>
          <w:color w:val="auto"/>
          <w:sz w:val="21"/>
          <w:szCs w:val="21"/>
          <w:highlight w:val="none"/>
        </w:rPr>
      </w:pPr>
    </w:p>
    <w:p>
      <w:pPr>
        <w:jc w:val="center"/>
        <w:rPr>
          <w:rFonts w:ascii="黑体" w:eastAsia="黑体"/>
          <w:color w:val="auto"/>
          <w:sz w:val="29"/>
          <w:highlight w:val="none"/>
        </w:rPr>
        <w:sectPr>
          <w:pgSz w:w="11905" w:h="16838"/>
          <w:pgMar w:top="1417" w:right="1134" w:bottom="1417" w:left="1134" w:header="680" w:footer="680" w:gutter="0"/>
          <w:cols w:space="0" w:num="1"/>
        </w:sectPr>
      </w:pPr>
    </w:p>
    <w:p>
      <w:pPr>
        <w:pStyle w:val="5"/>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第五章</w:t>
      </w:r>
      <w:r>
        <w:rPr>
          <w:rFonts w:asciiTheme="minorEastAsia" w:hAnsiTheme="minorEastAsia" w:eastAsiaTheme="minorEastAsia" w:cstheme="minorEastAsia"/>
          <w:color w:val="auto"/>
          <w:sz w:val="24"/>
          <w:szCs w:val="24"/>
          <w:highlight w:val="none"/>
        </w:rPr>
        <w:t xml:space="preserve">  </w:t>
      </w:r>
      <w:r>
        <w:rPr>
          <w:rFonts w:hint="eastAsia" w:asciiTheme="minorEastAsia" w:hAnsiTheme="minorEastAsia" w:eastAsiaTheme="minorEastAsia" w:cstheme="minorEastAsia"/>
          <w:color w:val="auto"/>
          <w:sz w:val="24"/>
          <w:szCs w:val="24"/>
          <w:highlight w:val="none"/>
        </w:rPr>
        <w:t>图纸</w:t>
      </w:r>
    </w:p>
    <w:p>
      <w:pPr>
        <w:spacing w:line="420" w:lineRule="auto"/>
        <w:ind w:firstLine="480"/>
        <w:rPr>
          <w:rFonts w:asciiTheme="minorEastAsia" w:hAnsiTheme="minorEastAsia" w:eastAsiaTheme="minorEastAsia" w:cstheme="minorEastAsia"/>
          <w:color w:val="auto"/>
          <w:sz w:val="24"/>
          <w:szCs w:val="24"/>
          <w:highlight w:val="none"/>
        </w:rPr>
      </w:pPr>
    </w:p>
    <w:p>
      <w:pPr>
        <w:widowControl/>
        <w:spacing w:line="360" w:lineRule="auto"/>
        <w:ind w:firstLine="480" w:firstLineChars="200"/>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bidi="ar"/>
        </w:rPr>
        <w:t>招标人提供由深圳市建筑设计研究总院有限公司（及其医疗专项设计分包单位上海尧伟建设工程有限公司）提供的净化采购及安装工程施工图纸（电子版），请各投</w:t>
      </w:r>
      <w:r>
        <w:rPr>
          <w:rFonts w:hint="eastAsia" w:asciiTheme="minorEastAsia" w:hAnsiTheme="minorEastAsia" w:eastAsiaTheme="minorEastAsia" w:cstheme="minorEastAsia"/>
          <w:color w:val="auto"/>
          <w:sz w:val="24"/>
          <w:szCs w:val="24"/>
          <w:highlight w:val="none"/>
        </w:rPr>
        <w:t>标人在</w:t>
      </w:r>
      <w:r>
        <w:rPr>
          <w:rFonts w:hint="eastAsia" w:asciiTheme="minorEastAsia" w:hAnsiTheme="minorEastAsia" w:eastAsiaTheme="minorEastAsia" w:cstheme="minorEastAsia"/>
          <w:color w:val="auto"/>
          <w:sz w:val="24"/>
          <w:szCs w:val="24"/>
          <w:highlight w:val="none"/>
          <w:lang w:bidi="ar"/>
        </w:rPr>
        <w:t>在登陆绍兴公共资源交易网交易平台后在</w:t>
      </w:r>
      <w:r>
        <w:rPr>
          <w:rFonts w:asciiTheme="minorEastAsia" w:hAnsiTheme="minorEastAsia" w:eastAsiaTheme="minorEastAsia" w:cstheme="minorEastAsia"/>
          <w:color w:val="auto"/>
          <w:sz w:val="24"/>
          <w:szCs w:val="24"/>
          <w:highlight w:val="none"/>
          <w:lang w:bidi="ar"/>
        </w:rPr>
        <w:t>控制价文件</w:t>
      </w:r>
      <w:r>
        <w:rPr>
          <w:rFonts w:hint="eastAsia" w:asciiTheme="minorEastAsia" w:hAnsiTheme="minorEastAsia" w:eastAsiaTheme="minorEastAsia" w:cstheme="minorEastAsia"/>
          <w:color w:val="auto"/>
          <w:sz w:val="24"/>
          <w:szCs w:val="24"/>
          <w:highlight w:val="none"/>
          <w:lang w:bidi="ar"/>
        </w:rPr>
        <w:t>中</w:t>
      </w:r>
      <w:r>
        <w:rPr>
          <w:rFonts w:asciiTheme="minorEastAsia" w:hAnsiTheme="minorEastAsia" w:eastAsiaTheme="minorEastAsia" w:cstheme="minorEastAsia"/>
          <w:color w:val="auto"/>
          <w:sz w:val="24"/>
          <w:szCs w:val="24"/>
          <w:highlight w:val="none"/>
          <w:lang w:bidi="ar"/>
        </w:rPr>
        <w:t>领取</w:t>
      </w:r>
      <w:r>
        <w:rPr>
          <w:rFonts w:hint="eastAsia" w:asciiTheme="minorEastAsia" w:hAnsiTheme="minorEastAsia" w:eastAsiaTheme="minorEastAsia" w:cstheme="minorEastAsia"/>
          <w:color w:val="auto"/>
          <w:sz w:val="24"/>
          <w:szCs w:val="24"/>
          <w:highlight w:val="none"/>
          <w:lang w:bidi="ar"/>
        </w:rPr>
        <w:t>下载电子版图纸</w:t>
      </w:r>
      <w:r>
        <w:rPr>
          <w:rFonts w:hint="eastAsia" w:asciiTheme="minorEastAsia" w:hAnsiTheme="minorEastAsia" w:eastAsiaTheme="minorEastAsia" w:cstheme="minorEastAsia"/>
          <w:color w:val="auto"/>
          <w:sz w:val="24"/>
          <w:szCs w:val="24"/>
          <w:highlight w:val="none"/>
        </w:rPr>
        <w:t>。</w:t>
      </w:r>
    </w:p>
    <w:p>
      <w:pPr>
        <w:spacing w:line="400" w:lineRule="auto"/>
        <w:rPr>
          <w:rFonts w:asciiTheme="minorEastAsia" w:hAnsiTheme="minorEastAsia" w:eastAsiaTheme="minorEastAsia" w:cstheme="minorEastAsia"/>
          <w:color w:val="auto"/>
          <w:sz w:val="24"/>
          <w:szCs w:val="24"/>
          <w:highlight w:val="none"/>
        </w:rPr>
      </w:pPr>
    </w:p>
    <w:p>
      <w:pPr>
        <w:keepNext/>
        <w:keepLines/>
        <w:spacing w:before="100" w:line="40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一、图纸目录</w:t>
      </w:r>
    </w:p>
    <w:p>
      <w:pPr>
        <w:spacing w:line="400" w:lineRule="auto"/>
        <w:rPr>
          <w:rFonts w:asciiTheme="minorEastAsia" w:hAnsiTheme="minorEastAsia" w:eastAsiaTheme="minorEastAsia" w:cstheme="minorEastAsia"/>
          <w:color w:val="auto"/>
          <w:sz w:val="24"/>
          <w:szCs w:val="24"/>
          <w:highlight w:val="none"/>
        </w:rPr>
      </w:pPr>
    </w:p>
    <w:tbl>
      <w:tblPr>
        <w:tblStyle w:val="27"/>
        <w:tblW w:w="8748" w:type="dxa"/>
        <w:tblInd w:w="0" w:type="dxa"/>
        <w:tblLayout w:type="fixed"/>
        <w:tblCellMar>
          <w:top w:w="0" w:type="dxa"/>
          <w:left w:w="10" w:type="dxa"/>
          <w:bottom w:w="0" w:type="dxa"/>
          <w:right w:w="10" w:type="dxa"/>
        </w:tblCellMar>
      </w:tblPr>
      <w:tblGrid>
        <w:gridCol w:w="828"/>
        <w:gridCol w:w="1980"/>
        <w:gridCol w:w="2520"/>
        <w:gridCol w:w="1260"/>
        <w:gridCol w:w="1260"/>
        <w:gridCol w:w="900"/>
      </w:tblGrid>
      <w:tr>
        <w:tblPrEx>
          <w:tblCellMar>
            <w:top w:w="0" w:type="dxa"/>
            <w:left w:w="10" w:type="dxa"/>
            <w:bottom w:w="0" w:type="dxa"/>
            <w:right w:w="10" w:type="dxa"/>
          </w:tblCellMar>
        </w:tblPrEx>
        <w:trPr>
          <w:trHeight w:val="1" w:hRule="atLeast"/>
        </w:trPr>
        <w:tc>
          <w:tcPr>
            <w:tcW w:w="828"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序号</w:t>
            </w:r>
          </w:p>
        </w:tc>
        <w:tc>
          <w:tcPr>
            <w:tcW w:w="198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图名</w:t>
            </w:r>
          </w:p>
        </w:tc>
        <w:tc>
          <w:tcPr>
            <w:tcW w:w="252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图号</w:t>
            </w:r>
          </w:p>
        </w:tc>
        <w:tc>
          <w:tcPr>
            <w:tcW w:w="126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版本</w:t>
            </w:r>
          </w:p>
        </w:tc>
        <w:tc>
          <w:tcPr>
            <w:tcW w:w="126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出图日期</w:t>
            </w:r>
          </w:p>
        </w:tc>
        <w:tc>
          <w:tcPr>
            <w:tcW w:w="90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备注</w:t>
            </w:r>
          </w:p>
        </w:tc>
      </w:tr>
      <w:tr>
        <w:tblPrEx>
          <w:tblCellMar>
            <w:top w:w="0" w:type="dxa"/>
            <w:left w:w="10" w:type="dxa"/>
            <w:bottom w:w="0" w:type="dxa"/>
            <w:right w:w="10" w:type="dxa"/>
          </w:tblCellMar>
        </w:tblPrEx>
        <w:trPr>
          <w:trHeight w:val="1" w:hRule="atLeast"/>
        </w:trPr>
        <w:tc>
          <w:tcPr>
            <w:tcW w:w="828"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w:t>
            </w:r>
          </w:p>
        </w:tc>
        <w:tc>
          <w:tcPr>
            <w:tcW w:w="198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c>
          <w:tcPr>
            <w:tcW w:w="252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c>
          <w:tcPr>
            <w:tcW w:w="126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c>
          <w:tcPr>
            <w:tcW w:w="126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c>
          <w:tcPr>
            <w:tcW w:w="90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r>
      <w:tr>
        <w:tblPrEx>
          <w:tblCellMar>
            <w:top w:w="0" w:type="dxa"/>
            <w:left w:w="10" w:type="dxa"/>
            <w:bottom w:w="0" w:type="dxa"/>
            <w:right w:w="10" w:type="dxa"/>
          </w:tblCellMar>
        </w:tblPrEx>
        <w:trPr>
          <w:trHeight w:val="1" w:hRule="atLeast"/>
        </w:trPr>
        <w:tc>
          <w:tcPr>
            <w:tcW w:w="828"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w:t>
            </w:r>
          </w:p>
        </w:tc>
        <w:tc>
          <w:tcPr>
            <w:tcW w:w="198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c>
          <w:tcPr>
            <w:tcW w:w="252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c>
          <w:tcPr>
            <w:tcW w:w="126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c>
          <w:tcPr>
            <w:tcW w:w="126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c>
          <w:tcPr>
            <w:tcW w:w="90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r>
      <w:tr>
        <w:tblPrEx>
          <w:tblCellMar>
            <w:top w:w="0" w:type="dxa"/>
            <w:left w:w="10" w:type="dxa"/>
            <w:bottom w:w="0" w:type="dxa"/>
            <w:right w:w="10" w:type="dxa"/>
          </w:tblCellMar>
        </w:tblPrEx>
        <w:trPr>
          <w:trHeight w:val="1" w:hRule="atLeast"/>
        </w:trPr>
        <w:tc>
          <w:tcPr>
            <w:tcW w:w="828"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w:t>
            </w:r>
          </w:p>
        </w:tc>
        <w:tc>
          <w:tcPr>
            <w:tcW w:w="198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340" w:lineRule="auto"/>
              <w:rPr>
                <w:rFonts w:asciiTheme="minorEastAsia" w:hAnsiTheme="minorEastAsia" w:eastAsiaTheme="minorEastAsia" w:cstheme="minorEastAsia"/>
                <w:color w:val="auto"/>
                <w:sz w:val="24"/>
                <w:szCs w:val="24"/>
                <w:highlight w:val="none"/>
              </w:rPr>
            </w:pPr>
          </w:p>
        </w:tc>
        <w:tc>
          <w:tcPr>
            <w:tcW w:w="252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c>
          <w:tcPr>
            <w:tcW w:w="126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c>
          <w:tcPr>
            <w:tcW w:w="126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c>
          <w:tcPr>
            <w:tcW w:w="90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r>
      <w:tr>
        <w:tblPrEx>
          <w:tblCellMar>
            <w:top w:w="0" w:type="dxa"/>
            <w:left w:w="10" w:type="dxa"/>
            <w:bottom w:w="0" w:type="dxa"/>
            <w:right w:w="10" w:type="dxa"/>
          </w:tblCellMar>
        </w:tblPrEx>
        <w:trPr>
          <w:trHeight w:val="1" w:hRule="atLeast"/>
        </w:trPr>
        <w:tc>
          <w:tcPr>
            <w:tcW w:w="828"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c>
          <w:tcPr>
            <w:tcW w:w="198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c>
          <w:tcPr>
            <w:tcW w:w="252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c>
          <w:tcPr>
            <w:tcW w:w="126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c>
          <w:tcPr>
            <w:tcW w:w="126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c>
          <w:tcPr>
            <w:tcW w:w="90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r>
      <w:tr>
        <w:tblPrEx>
          <w:tblCellMar>
            <w:top w:w="0" w:type="dxa"/>
            <w:left w:w="10" w:type="dxa"/>
            <w:bottom w:w="0" w:type="dxa"/>
            <w:right w:w="10" w:type="dxa"/>
          </w:tblCellMar>
        </w:tblPrEx>
        <w:trPr>
          <w:cantSplit/>
        </w:trPr>
        <w:tc>
          <w:tcPr>
            <w:tcW w:w="828"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c>
          <w:tcPr>
            <w:tcW w:w="198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c>
          <w:tcPr>
            <w:tcW w:w="252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c>
          <w:tcPr>
            <w:tcW w:w="126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c>
          <w:tcPr>
            <w:tcW w:w="126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c>
          <w:tcPr>
            <w:tcW w:w="90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r>
      <w:tr>
        <w:tblPrEx>
          <w:tblCellMar>
            <w:top w:w="0" w:type="dxa"/>
            <w:left w:w="10" w:type="dxa"/>
            <w:bottom w:w="0" w:type="dxa"/>
            <w:right w:w="10" w:type="dxa"/>
          </w:tblCellMar>
        </w:tblPrEx>
        <w:trPr>
          <w:cantSplit/>
          <w:trHeight w:val="1" w:hRule="atLeast"/>
        </w:trPr>
        <w:tc>
          <w:tcPr>
            <w:tcW w:w="828"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c>
          <w:tcPr>
            <w:tcW w:w="198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c>
          <w:tcPr>
            <w:tcW w:w="252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c>
          <w:tcPr>
            <w:tcW w:w="126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c>
          <w:tcPr>
            <w:tcW w:w="126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c>
          <w:tcPr>
            <w:tcW w:w="90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r>
      <w:tr>
        <w:tblPrEx>
          <w:tblCellMar>
            <w:top w:w="0" w:type="dxa"/>
            <w:left w:w="10" w:type="dxa"/>
            <w:bottom w:w="0" w:type="dxa"/>
            <w:right w:w="10" w:type="dxa"/>
          </w:tblCellMar>
        </w:tblPrEx>
        <w:trPr>
          <w:cantSplit/>
          <w:trHeight w:val="1" w:hRule="atLeast"/>
        </w:trPr>
        <w:tc>
          <w:tcPr>
            <w:tcW w:w="828"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c>
          <w:tcPr>
            <w:tcW w:w="198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c>
          <w:tcPr>
            <w:tcW w:w="252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c>
          <w:tcPr>
            <w:tcW w:w="126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c>
          <w:tcPr>
            <w:tcW w:w="126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c>
          <w:tcPr>
            <w:tcW w:w="90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r>
      <w:tr>
        <w:tblPrEx>
          <w:tblCellMar>
            <w:top w:w="0" w:type="dxa"/>
            <w:left w:w="10" w:type="dxa"/>
            <w:bottom w:w="0" w:type="dxa"/>
            <w:right w:w="10" w:type="dxa"/>
          </w:tblCellMar>
        </w:tblPrEx>
        <w:trPr>
          <w:cantSplit/>
          <w:trHeight w:val="1" w:hRule="atLeast"/>
        </w:trPr>
        <w:tc>
          <w:tcPr>
            <w:tcW w:w="828"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c>
          <w:tcPr>
            <w:tcW w:w="198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c>
          <w:tcPr>
            <w:tcW w:w="252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c>
          <w:tcPr>
            <w:tcW w:w="126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c>
          <w:tcPr>
            <w:tcW w:w="126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c>
          <w:tcPr>
            <w:tcW w:w="90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r>
      <w:tr>
        <w:tblPrEx>
          <w:tblCellMar>
            <w:top w:w="0" w:type="dxa"/>
            <w:left w:w="10" w:type="dxa"/>
            <w:bottom w:w="0" w:type="dxa"/>
            <w:right w:w="10" w:type="dxa"/>
          </w:tblCellMar>
        </w:tblPrEx>
        <w:trPr>
          <w:cantSplit/>
          <w:trHeight w:val="1" w:hRule="atLeast"/>
        </w:trPr>
        <w:tc>
          <w:tcPr>
            <w:tcW w:w="828"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c>
          <w:tcPr>
            <w:tcW w:w="198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c>
          <w:tcPr>
            <w:tcW w:w="252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c>
          <w:tcPr>
            <w:tcW w:w="126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c>
          <w:tcPr>
            <w:tcW w:w="126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c>
          <w:tcPr>
            <w:tcW w:w="90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r>
    </w:tbl>
    <w:p>
      <w:pPr>
        <w:spacing w:line="400" w:lineRule="auto"/>
        <w:rPr>
          <w:rFonts w:asciiTheme="minorEastAsia" w:hAnsiTheme="minorEastAsia" w:eastAsiaTheme="minorEastAsia" w:cstheme="minorEastAsia"/>
          <w:color w:val="auto"/>
          <w:sz w:val="24"/>
          <w:szCs w:val="24"/>
          <w:highlight w:val="none"/>
        </w:rPr>
      </w:pPr>
      <w:bookmarkStart w:id="443" w:name="_Toc19145"/>
    </w:p>
    <w:p>
      <w:pPr>
        <w:spacing w:line="400" w:lineRule="auto"/>
        <w:rPr>
          <w:rFonts w:asciiTheme="minorEastAsia" w:hAnsiTheme="minorEastAsia" w:eastAsiaTheme="minorEastAsia" w:cstheme="minorEastAsia"/>
          <w:color w:val="auto"/>
          <w:sz w:val="24"/>
          <w:szCs w:val="24"/>
          <w:highlight w:val="none"/>
        </w:rPr>
      </w:pPr>
    </w:p>
    <w:p>
      <w:pPr>
        <w:spacing w:line="400" w:lineRule="auto"/>
        <w:rPr>
          <w:rFonts w:asciiTheme="minorEastAsia" w:hAnsiTheme="minorEastAsia" w:eastAsiaTheme="minorEastAsia" w:cstheme="minorEastAsia"/>
          <w:color w:val="auto"/>
          <w:sz w:val="24"/>
          <w:szCs w:val="24"/>
          <w:highlight w:val="none"/>
        </w:rPr>
      </w:pPr>
    </w:p>
    <w:p>
      <w:pPr>
        <w:spacing w:line="400" w:lineRule="auto"/>
        <w:rPr>
          <w:rFonts w:asciiTheme="minorEastAsia" w:hAnsiTheme="minorEastAsia" w:eastAsiaTheme="minorEastAsia" w:cstheme="minorEastAsia"/>
          <w:color w:val="auto"/>
          <w:sz w:val="24"/>
          <w:szCs w:val="24"/>
          <w:highlight w:val="none"/>
        </w:rPr>
      </w:pPr>
    </w:p>
    <w:p>
      <w:pPr>
        <w:spacing w:line="400" w:lineRule="auto"/>
        <w:rPr>
          <w:rFonts w:asciiTheme="minorEastAsia" w:hAnsiTheme="minorEastAsia" w:eastAsiaTheme="minorEastAsia" w:cstheme="minorEastAsia"/>
          <w:color w:val="auto"/>
          <w:sz w:val="24"/>
          <w:szCs w:val="24"/>
          <w:highlight w:val="none"/>
        </w:rPr>
      </w:pPr>
    </w:p>
    <w:p>
      <w:pPr>
        <w:spacing w:line="400" w:lineRule="auto"/>
        <w:rPr>
          <w:rFonts w:asciiTheme="minorEastAsia" w:hAnsiTheme="minorEastAsia" w:eastAsiaTheme="minorEastAsia" w:cstheme="minorEastAsia"/>
          <w:color w:val="auto"/>
          <w:sz w:val="24"/>
          <w:szCs w:val="24"/>
          <w:highlight w:val="none"/>
        </w:rPr>
      </w:pPr>
    </w:p>
    <w:p>
      <w:pPr>
        <w:pStyle w:val="5"/>
        <w:rPr>
          <w:color w:val="auto"/>
          <w:highlight w:val="none"/>
        </w:rPr>
      </w:pPr>
      <w:r>
        <w:rPr>
          <w:rFonts w:hint="eastAsia"/>
          <w:color w:val="auto"/>
          <w:highlight w:val="none"/>
        </w:rPr>
        <w:t>第六章</w:t>
      </w:r>
      <w:r>
        <w:rPr>
          <w:color w:val="auto"/>
          <w:highlight w:val="none"/>
        </w:rPr>
        <w:t xml:space="preserve">  </w:t>
      </w:r>
      <w:r>
        <w:rPr>
          <w:rFonts w:hint="eastAsia"/>
          <w:color w:val="auto"/>
          <w:highlight w:val="none"/>
        </w:rPr>
        <w:t>技术标准和要求</w:t>
      </w:r>
      <w:bookmarkEnd w:id="443"/>
    </w:p>
    <w:p>
      <w:pPr>
        <w:pStyle w:val="6"/>
        <w:jc w:val="left"/>
        <w:rPr>
          <w:rStyle w:val="73"/>
          <w:rFonts w:ascii="宋体" w:hAnsi="宋体"/>
          <w:color w:val="auto"/>
          <w:sz w:val="30"/>
          <w:szCs w:val="30"/>
          <w:highlight w:val="none"/>
        </w:rPr>
      </w:pPr>
      <w:bookmarkStart w:id="444" w:name="_Hlk77772165"/>
      <w:r>
        <w:rPr>
          <w:rStyle w:val="73"/>
          <w:rFonts w:hint="eastAsia" w:ascii="宋体" w:hAnsi="宋体"/>
          <w:color w:val="auto"/>
          <w:sz w:val="30"/>
          <w:szCs w:val="30"/>
          <w:highlight w:val="none"/>
        </w:rPr>
        <w:t>总体技术标准要求和招标界面</w:t>
      </w:r>
    </w:p>
    <w:bookmarkEnd w:id="444"/>
    <w:p>
      <w:pPr>
        <w:numPr>
          <w:ilvl w:val="0"/>
          <w:numId w:val="6"/>
        </w:numPr>
        <w:spacing w:line="360" w:lineRule="auto"/>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总体原则是：洁污分明，配套设施完善，功能与设施先进完备。</w:t>
      </w:r>
    </w:p>
    <w:p>
      <w:pPr>
        <w:numPr>
          <w:ilvl w:val="0"/>
          <w:numId w:val="6"/>
        </w:numPr>
        <w:spacing w:line="360" w:lineRule="auto"/>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项目范围内施工工艺、设备及材料的选择都应具有先进性，满足现代化医院的使用要求。设备及工艺的安排应达到低噪音、高洁净、新风量充足、保证环保的要求，具有先进性、高可靠性、实用性、经济性与合理性、有舒适宁静的室内环境。全部技术指标，包括设备、材料、包装、运输、安装、调试、维修等各项目技术参数，必须符合本招标文件及国家规范的相关要求。包括但不限于下列规范：</w:t>
      </w:r>
    </w:p>
    <w:p>
      <w:pPr>
        <w:numPr>
          <w:ilvl w:val="0"/>
          <w:numId w:val="7"/>
        </w:numPr>
        <w:spacing w:line="360" w:lineRule="auto"/>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《综合医院建筑设计规范》</w:t>
      </w:r>
      <w:r>
        <w:rPr>
          <w:rFonts w:asciiTheme="minorEastAsia" w:hAnsiTheme="minorEastAsia" w:eastAsiaTheme="minorEastAsia" w:cstheme="minorEastAsia"/>
          <w:color w:val="auto"/>
          <w:szCs w:val="21"/>
          <w:highlight w:val="none"/>
        </w:rPr>
        <w:t>GB51039-2014</w:t>
      </w:r>
    </w:p>
    <w:p>
      <w:pPr>
        <w:numPr>
          <w:ilvl w:val="0"/>
          <w:numId w:val="7"/>
        </w:numPr>
        <w:spacing w:line="360" w:lineRule="auto"/>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《医院洁净手术部建筑技术规范》</w:t>
      </w:r>
      <w:r>
        <w:rPr>
          <w:rFonts w:asciiTheme="minorEastAsia" w:hAnsiTheme="minorEastAsia" w:eastAsiaTheme="minorEastAsia" w:cstheme="minorEastAsia"/>
          <w:color w:val="auto"/>
          <w:szCs w:val="21"/>
          <w:highlight w:val="none"/>
        </w:rPr>
        <w:t>GB50333-2013</w:t>
      </w:r>
    </w:p>
    <w:p>
      <w:pPr>
        <w:numPr>
          <w:ilvl w:val="0"/>
          <w:numId w:val="7"/>
        </w:numPr>
        <w:spacing w:line="360" w:lineRule="auto"/>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《建筑设计防火规范》</w:t>
      </w:r>
      <w:r>
        <w:rPr>
          <w:rFonts w:asciiTheme="minorEastAsia" w:hAnsiTheme="minorEastAsia" w:eastAsiaTheme="minorEastAsia" w:cstheme="minorEastAsia"/>
          <w:color w:val="auto"/>
          <w:szCs w:val="21"/>
          <w:highlight w:val="none"/>
        </w:rPr>
        <w:t>GB50016-2014(2018版)</w:t>
      </w:r>
    </w:p>
    <w:p>
      <w:pPr>
        <w:numPr>
          <w:ilvl w:val="0"/>
          <w:numId w:val="7"/>
        </w:numPr>
        <w:spacing w:line="360" w:lineRule="auto"/>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《建筑内部装修设计防火规范》</w:t>
      </w:r>
      <w:r>
        <w:rPr>
          <w:rFonts w:asciiTheme="minorEastAsia" w:hAnsiTheme="minorEastAsia" w:eastAsiaTheme="minorEastAsia" w:cstheme="minorEastAsia"/>
          <w:color w:val="auto"/>
          <w:szCs w:val="21"/>
          <w:highlight w:val="none"/>
        </w:rPr>
        <w:t>GB50222-2017</w:t>
      </w:r>
    </w:p>
    <w:p>
      <w:pPr>
        <w:numPr>
          <w:ilvl w:val="0"/>
          <w:numId w:val="7"/>
        </w:numPr>
        <w:spacing w:line="360" w:lineRule="auto"/>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《洁净室施工及验收规范》</w:t>
      </w:r>
      <w:r>
        <w:rPr>
          <w:rFonts w:asciiTheme="minorEastAsia" w:hAnsiTheme="minorEastAsia" w:eastAsiaTheme="minorEastAsia" w:cstheme="minorEastAsia"/>
          <w:color w:val="auto"/>
          <w:szCs w:val="21"/>
          <w:highlight w:val="none"/>
        </w:rPr>
        <w:t>GB50591-2010</w:t>
      </w:r>
    </w:p>
    <w:p>
      <w:pPr>
        <w:numPr>
          <w:ilvl w:val="0"/>
          <w:numId w:val="7"/>
        </w:numPr>
        <w:spacing w:line="360" w:lineRule="auto"/>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《医院消毒供应中心</w:t>
      </w:r>
      <w:r>
        <w:rPr>
          <w:rFonts w:asciiTheme="minorEastAsia" w:hAnsiTheme="minorEastAsia" w:eastAsiaTheme="minorEastAsia" w:cstheme="minorEastAsia"/>
          <w:color w:val="auto"/>
          <w:szCs w:val="21"/>
          <w:highlight w:val="none"/>
        </w:rPr>
        <w:t xml:space="preserve">  </w:t>
      </w:r>
      <w:r>
        <w:rPr>
          <w:rFonts w:hint="eastAsia" w:asciiTheme="minorEastAsia" w:hAnsiTheme="minorEastAsia" w:eastAsiaTheme="minorEastAsia" w:cstheme="minorEastAsia"/>
          <w:color w:val="auto"/>
          <w:szCs w:val="21"/>
          <w:highlight w:val="none"/>
        </w:rPr>
        <w:t>第</w:t>
      </w:r>
      <w:r>
        <w:rPr>
          <w:rFonts w:asciiTheme="minorEastAsia" w:hAnsiTheme="minorEastAsia" w:eastAsiaTheme="minorEastAsia" w:cstheme="minorEastAsia"/>
          <w:color w:val="auto"/>
          <w:szCs w:val="21"/>
          <w:highlight w:val="none"/>
        </w:rPr>
        <w:t>1部分管理规范》WS_310.1--2016</w:t>
      </w:r>
    </w:p>
    <w:p>
      <w:pPr>
        <w:numPr>
          <w:ilvl w:val="0"/>
          <w:numId w:val="7"/>
        </w:numPr>
        <w:spacing w:line="360" w:lineRule="auto"/>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《静脉用药集中调配质量管理规范》（卫办医发〔</w:t>
      </w:r>
      <w:r>
        <w:rPr>
          <w:rFonts w:asciiTheme="minorEastAsia" w:hAnsiTheme="minorEastAsia" w:eastAsiaTheme="minorEastAsia" w:cstheme="minorEastAsia"/>
          <w:color w:val="auto"/>
          <w:szCs w:val="21"/>
          <w:highlight w:val="none"/>
        </w:rPr>
        <w:t>2010〕62号）</w:t>
      </w:r>
    </w:p>
    <w:p>
      <w:pPr>
        <w:numPr>
          <w:ilvl w:val="0"/>
          <w:numId w:val="7"/>
        </w:numPr>
        <w:spacing w:line="360" w:lineRule="auto"/>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《生物安全实验室建筑技术规范》</w:t>
      </w:r>
      <w:r>
        <w:rPr>
          <w:rFonts w:asciiTheme="minorEastAsia" w:hAnsiTheme="minorEastAsia" w:eastAsiaTheme="minorEastAsia" w:cstheme="minorEastAsia"/>
          <w:color w:val="auto"/>
          <w:szCs w:val="21"/>
          <w:highlight w:val="none"/>
        </w:rPr>
        <w:t xml:space="preserve"> GB 50346-2011 </w:t>
      </w:r>
    </w:p>
    <w:p>
      <w:pPr>
        <w:numPr>
          <w:ilvl w:val="0"/>
          <w:numId w:val="7"/>
        </w:numPr>
        <w:spacing w:line="360" w:lineRule="auto"/>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《传染病医院建筑设计规范》</w:t>
      </w:r>
      <w:r>
        <w:rPr>
          <w:color w:val="auto"/>
          <w:highlight w:val="none"/>
        </w:rPr>
        <w:fldChar w:fldCharType="begin"/>
      </w:r>
      <w:r>
        <w:rPr>
          <w:color w:val="auto"/>
          <w:highlight w:val="none"/>
        </w:rPr>
        <w:instrText xml:space="preserve"> HYPERLINK "https://bbs.co188.com/thread-9140623-1-1.html" \o "求《传染病医院建筑设计规范》GB50849-2014" </w:instrText>
      </w:r>
      <w:r>
        <w:rPr>
          <w:color w:val="auto"/>
          <w:highlight w:val="none"/>
        </w:rPr>
        <w:fldChar w:fldCharType="separate"/>
      </w:r>
      <w:r>
        <w:rPr>
          <w:rFonts w:asciiTheme="minorEastAsia" w:hAnsiTheme="minorEastAsia" w:eastAsiaTheme="minorEastAsia" w:cstheme="minorEastAsia"/>
          <w:color w:val="auto"/>
          <w:szCs w:val="21"/>
          <w:highlight w:val="none"/>
        </w:rPr>
        <w:t>GB50849-2014</w:t>
      </w:r>
      <w:r>
        <w:rPr>
          <w:rFonts w:asciiTheme="minorEastAsia" w:hAnsiTheme="minorEastAsia" w:eastAsiaTheme="minorEastAsia" w:cstheme="minorEastAsia"/>
          <w:color w:val="auto"/>
          <w:szCs w:val="21"/>
          <w:highlight w:val="none"/>
        </w:rPr>
        <w:fldChar w:fldCharType="end"/>
      </w:r>
    </w:p>
    <w:p>
      <w:pPr>
        <w:numPr>
          <w:ilvl w:val="0"/>
          <w:numId w:val="7"/>
        </w:numPr>
        <w:spacing w:line="360" w:lineRule="auto"/>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《医院负压隔离病房环境控制要求》</w:t>
      </w:r>
      <w:r>
        <w:rPr>
          <w:rFonts w:asciiTheme="minorEastAsia" w:hAnsiTheme="minorEastAsia" w:eastAsiaTheme="minorEastAsia" w:cstheme="minorEastAsia"/>
          <w:color w:val="auto"/>
          <w:szCs w:val="21"/>
          <w:highlight w:val="none"/>
        </w:rPr>
        <w:t>GB/T35428-2017</w:t>
      </w:r>
    </w:p>
    <w:p>
      <w:pPr>
        <w:numPr>
          <w:ilvl w:val="0"/>
          <w:numId w:val="7"/>
        </w:numPr>
        <w:spacing w:line="360" w:lineRule="auto"/>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《医院隔离技术规范</w:t>
      </w:r>
      <w:r>
        <w:rPr>
          <w:rFonts w:asciiTheme="minorEastAsia" w:hAnsiTheme="minorEastAsia" w:eastAsiaTheme="minorEastAsia" w:cstheme="minorEastAsia"/>
          <w:color w:val="auto"/>
          <w:szCs w:val="21"/>
          <w:highlight w:val="none"/>
        </w:rPr>
        <w:t xml:space="preserve"> 》WST 311-2009 </w:t>
      </w:r>
    </w:p>
    <w:p>
      <w:pPr>
        <w:numPr>
          <w:ilvl w:val="0"/>
          <w:numId w:val="7"/>
        </w:numPr>
        <w:spacing w:line="360" w:lineRule="auto"/>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《医院空气净化管理规范》</w:t>
      </w:r>
      <w:r>
        <w:rPr>
          <w:rFonts w:asciiTheme="minorEastAsia" w:hAnsiTheme="minorEastAsia" w:eastAsiaTheme="minorEastAsia" w:cstheme="minorEastAsia"/>
          <w:color w:val="auto"/>
          <w:szCs w:val="21"/>
          <w:highlight w:val="none"/>
        </w:rPr>
        <w:t>WST 368-2012</w:t>
      </w:r>
    </w:p>
    <w:p>
      <w:pPr>
        <w:numPr>
          <w:ilvl w:val="0"/>
          <w:numId w:val="7"/>
        </w:numPr>
        <w:spacing w:line="360" w:lineRule="auto"/>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《洁净厂房设计规范》</w:t>
      </w:r>
      <w:r>
        <w:rPr>
          <w:rFonts w:asciiTheme="minorEastAsia" w:hAnsiTheme="minorEastAsia" w:eastAsiaTheme="minorEastAsia" w:cstheme="minorEastAsia"/>
          <w:color w:val="auto"/>
          <w:szCs w:val="21"/>
          <w:highlight w:val="none"/>
        </w:rPr>
        <w:t>GB50073-2013</w:t>
      </w:r>
    </w:p>
    <w:p>
      <w:pPr>
        <w:numPr>
          <w:ilvl w:val="0"/>
          <w:numId w:val="7"/>
        </w:numPr>
        <w:spacing w:line="360" w:lineRule="auto"/>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《民用建筑供热通风与空气调节设计规范》</w:t>
      </w:r>
      <w:r>
        <w:rPr>
          <w:rFonts w:asciiTheme="minorEastAsia" w:hAnsiTheme="minorEastAsia" w:eastAsiaTheme="minorEastAsia" w:cstheme="minorEastAsia"/>
          <w:color w:val="auto"/>
          <w:szCs w:val="21"/>
          <w:highlight w:val="none"/>
        </w:rPr>
        <w:t>GB50736-2012</w:t>
      </w:r>
    </w:p>
    <w:p>
      <w:pPr>
        <w:numPr>
          <w:ilvl w:val="0"/>
          <w:numId w:val="7"/>
        </w:numPr>
        <w:spacing w:line="360" w:lineRule="auto"/>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《通风与空调工程施工质量验收规范》</w:t>
      </w:r>
      <w:r>
        <w:rPr>
          <w:rFonts w:asciiTheme="minorEastAsia" w:hAnsiTheme="minorEastAsia" w:eastAsiaTheme="minorEastAsia" w:cstheme="minorEastAsia"/>
          <w:color w:val="auto"/>
          <w:szCs w:val="21"/>
          <w:highlight w:val="none"/>
        </w:rPr>
        <w:t>GB50243-2016</w:t>
      </w:r>
    </w:p>
    <w:p>
      <w:pPr>
        <w:numPr>
          <w:ilvl w:val="0"/>
          <w:numId w:val="7"/>
        </w:numPr>
        <w:spacing w:line="360" w:lineRule="auto"/>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《建筑给水排水及采暖工程施工质量验收规范》</w:t>
      </w:r>
      <w:r>
        <w:rPr>
          <w:rFonts w:asciiTheme="minorEastAsia" w:hAnsiTheme="minorEastAsia" w:eastAsiaTheme="minorEastAsia" w:cstheme="minorEastAsia"/>
          <w:color w:val="auto"/>
          <w:szCs w:val="21"/>
          <w:highlight w:val="none"/>
        </w:rPr>
        <w:t>GB50242-2002</w:t>
      </w:r>
    </w:p>
    <w:p>
      <w:pPr>
        <w:numPr>
          <w:ilvl w:val="0"/>
          <w:numId w:val="7"/>
        </w:numPr>
        <w:spacing w:line="360" w:lineRule="auto"/>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《民用建筑电气设计规范》</w:t>
      </w:r>
      <w:r>
        <w:rPr>
          <w:rFonts w:asciiTheme="minorEastAsia" w:hAnsiTheme="minorEastAsia" w:eastAsiaTheme="minorEastAsia" w:cstheme="minorEastAsia"/>
          <w:color w:val="auto"/>
          <w:szCs w:val="21"/>
          <w:highlight w:val="none"/>
        </w:rPr>
        <w:t>JGJ/T16-2008</w:t>
      </w:r>
    </w:p>
    <w:p>
      <w:pPr>
        <w:numPr>
          <w:ilvl w:val="0"/>
          <w:numId w:val="7"/>
        </w:numPr>
        <w:spacing w:line="360" w:lineRule="auto"/>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《建筑照明设计标准》</w:t>
      </w:r>
      <w:r>
        <w:rPr>
          <w:rFonts w:asciiTheme="minorEastAsia" w:hAnsiTheme="minorEastAsia" w:eastAsiaTheme="minorEastAsia" w:cstheme="minorEastAsia"/>
          <w:color w:val="auto"/>
          <w:szCs w:val="21"/>
          <w:highlight w:val="none"/>
        </w:rPr>
        <w:t>GB50034-2013</w:t>
      </w:r>
    </w:p>
    <w:p>
      <w:pPr>
        <w:numPr>
          <w:ilvl w:val="0"/>
          <w:numId w:val="7"/>
        </w:numPr>
        <w:spacing w:line="360" w:lineRule="auto"/>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《电力工程电缆设计规范》</w:t>
      </w:r>
      <w:r>
        <w:rPr>
          <w:rFonts w:asciiTheme="minorEastAsia" w:hAnsiTheme="minorEastAsia" w:eastAsiaTheme="minorEastAsia" w:cstheme="minorEastAsia"/>
          <w:color w:val="auto"/>
          <w:szCs w:val="21"/>
          <w:highlight w:val="none"/>
        </w:rPr>
        <w:t xml:space="preserve">GB50217-2016   </w:t>
      </w:r>
    </w:p>
    <w:p>
      <w:pPr>
        <w:numPr>
          <w:ilvl w:val="0"/>
          <w:numId w:val="7"/>
        </w:numPr>
        <w:spacing w:line="360" w:lineRule="auto"/>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《建筑给水排水设计标准》</w:t>
      </w:r>
      <w:r>
        <w:rPr>
          <w:rFonts w:asciiTheme="minorEastAsia" w:hAnsiTheme="minorEastAsia" w:eastAsiaTheme="minorEastAsia" w:cstheme="minorEastAsia"/>
          <w:color w:val="auto"/>
          <w:szCs w:val="21"/>
          <w:highlight w:val="none"/>
        </w:rPr>
        <w:t>GB50015-2019</w:t>
      </w:r>
    </w:p>
    <w:p>
      <w:pPr>
        <w:numPr>
          <w:ilvl w:val="0"/>
          <w:numId w:val="7"/>
        </w:numPr>
        <w:spacing w:line="360" w:lineRule="auto"/>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《临床实验室生物安全指南》</w:t>
      </w:r>
      <w:r>
        <w:rPr>
          <w:rFonts w:asciiTheme="minorEastAsia" w:hAnsiTheme="minorEastAsia" w:eastAsiaTheme="minorEastAsia" w:cstheme="minorEastAsia"/>
          <w:color w:val="auto"/>
          <w:szCs w:val="21"/>
          <w:highlight w:val="none"/>
        </w:rPr>
        <w:t>WS/T 442-2014</w:t>
      </w:r>
    </w:p>
    <w:p>
      <w:pPr>
        <w:numPr>
          <w:ilvl w:val="0"/>
          <w:numId w:val="7"/>
        </w:numPr>
        <w:spacing w:line="360" w:lineRule="auto"/>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《建筑材料及制品燃烧性能分级》</w:t>
      </w:r>
      <w:r>
        <w:rPr>
          <w:rFonts w:asciiTheme="minorEastAsia" w:hAnsiTheme="minorEastAsia" w:eastAsiaTheme="minorEastAsia" w:cstheme="minorEastAsia"/>
          <w:color w:val="auto"/>
          <w:szCs w:val="21"/>
          <w:highlight w:val="none"/>
        </w:rPr>
        <w:t>GB8624-2012</w:t>
      </w:r>
    </w:p>
    <w:p>
      <w:pPr>
        <w:numPr>
          <w:ilvl w:val="0"/>
          <w:numId w:val="7"/>
        </w:numPr>
        <w:spacing w:line="360" w:lineRule="auto"/>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《建筑装饰装修工程施工质量验收规范》</w:t>
      </w:r>
      <w:r>
        <w:rPr>
          <w:rFonts w:asciiTheme="minorEastAsia" w:hAnsiTheme="minorEastAsia" w:eastAsiaTheme="minorEastAsia" w:cstheme="minorEastAsia"/>
          <w:color w:val="auto"/>
          <w:szCs w:val="21"/>
          <w:highlight w:val="none"/>
        </w:rPr>
        <w:t>GB50210-2018</w:t>
      </w:r>
    </w:p>
    <w:p>
      <w:pPr>
        <w:spacing w:line="360" w:lineRule="auto"/>
        <w:ind w:firstLine="420" w:firstLineChars="200"/>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其它与本工程相关的技术规范。</w:t>
      </w:r>
    </w:p>
    <w:p>
      <w:pPr>
        <w:spacing w:line="360" w:lineRule="auto"/>
        <w:ind w:firstLine="420" w:firstLineChars="200"/>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如果国家有新的行业标准公布，则按新标准执行。</w:t>
      </w:r>
    </w:p>
    <w:p>
      <w:pPr>
        <w:numPr>
          <w:ilvl w:val="0"/>
          <w:numId w:val="6"/>
        </w:numPr>
        <w:spacing w:line="360" w:lineRule="auto"/>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招标</w:t>
      </w:r>
      <w:r>
        <w:rPr>
          <w:rFonts w:hint="eastAsia" w:asciiTheme="minorEastAsia" w:hAnsiTheme="minorEastAsia" w:eastAsiaTheme="minorEastAsia" w:cstheme="minorEastAsia"/>
          <w:color w:val="auto"/>
          <w:kern w:val="58"/>
          <w:szCs w:val="21"/>
          <w:highlight w:val="none"/>
        </w:rPr>
        <w:t>界面：</w:t>
      </w:r>
    </w:p>
    <w:p>
      <w:pPr>
        <w:pStyle w:val="8"/>
        <w:numPr>
          <w:ilvl w:val="0"/>
          <w:numId w:val="8"/>
        </w:numPr>
        <w:spacing w:before="0" w:after="0" w:line="360" w:lineRule="auto"/>
        <w:rPr>
          <w:rFonts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rPr>
        <w:t>装饰部分</w:t>
      </w:r>
    </w:p>
    <w:p>
      <w:pPr>
        <w:pStyle w:val="3"/>
        <w:numPr>
          <w:ilvl w:val="0"/>
          <w:numId w:val="9"/>
        </w:numPr>
        <w:spacing w:line="360" w:lineRule="auto"/>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总承包单位负责净化工程范围施工至粉刷层；但净化区域范围的墙体饰面、顶棚饰面、地坪饰面以及相应房间的设备、门窗（除防火门以外）均</w:t>
      </w:r>
      <w:r>
        <w:rPr>
          <w:rFonts w:hint="eastAsia" w:asciiTheme="minorEastAsia" w:hAnsiTheme="minorEastAsia" w:eastAsiaTheme="minorEastAsia" w:cstheme="minorEastAsia"/>
          <w:bCs/>
          <w:color w:val="auto"/>
          <w:sz w:val="21"/>
          <w:szCs w:val="21"/>
          <w:highlight w:val="none"/>
          <w:lang w:val="zh-CN"/>
        </w:rPr>
        <w:t>在本次招标范围</w:t>
      </w:r>
      <w:r>
        <w:rPr>
          <w:rFonts w:hint="eastAsia" w:asciiTheme="minorEastAsia" w:hAnsiTheme="minorEastAsia" w:eastAsiaTheme="minorEastAsia" w:cstheme="minorEastAsia"/>
          <w:color w:val="auto"/>
          <w:sz w:val="21"/>
          <w:szCs w:val="21"/>
          <w:highlight w:val="none"/>
        </w:rPr>
        <w:t>内</w:t>
      </w:r>
      <w:r>
        <w:rPr>
          <w:rFonts w:hint="eastAsia" w:asciiTheme="minorEastAsia" w:hAnsiTheme="minorEastAsia" w:eastAsiaTheme="minorEastAsia" w:cstheme="minorEastAsia"/>
          <w:bCs/>
          <w:color w:val="auto"/>
          <w:sz w:val="21"/>
          <w:szCs w:val="21"/>
          <w:highlight w:val="none"/>
          <w:lang w:val="zh-CN"/>
        </w:rPr>
        <w:t>。</w:t>
      </w:r>
    </w:p>
    <w:p>
      <w:pPr>
        <w:numPr>
          <w:ilvl w:val="0"/>
          <w:numId w:val="9"/>
        </w:numPr>
        <w:spacing w:line="360" w:lineRule="auto"/>
        <w:rPr>
          <w:rFonts w:asciiTheme="minorEastAsia" w:hAnsiTheme="minorEastAsia" w:eastAsiaTheme="minorEastAsia" w:cstheme="minorEastAsia"/>
          <w:bCs/>
          <w:color w:val="auto"/>
          <w:szCs w:val="21"/>
          <w:highlight w:val="none"/>
          <w:lang w:val="zh-CN"/>
        </w:rPr>
      </w:pPr>
      <w:r>
        <w:rPr>
          <w:rFonts w:hint="eastAsia" w:asciiTheme="minorEastAsia" w:hAnsiTheme="minorEastAsia" w:eastAsiaTheme="minorEastAsia" w:cstheme="minorEastAsia"/>
          <w:bCs/>
          <w:color w:val="auto"/>
          <w:szCs w:val="21"/>
          <w:highlight w:val="none"/>
          <w:lang w:val="zh-CN"/>
        </w:rPr>
        <w:t>建筑装饰应遵循不产尘、不积尘、耐腐蚀、防潮防霉、容易清洁和符合防火要求的总原则。净化区范围内与空气直接接触的外露材料不得使用木材和石膏。</w:t>
      </w:r>
    </w:p>
    <w:p>
      <w:pPr>
        <w:numPr>
          <w:ilvl w:val="0"/>
          <w:numId w:val="9"/>
        </w:numPr>
        <w:spacing w:line="360" w:lineRule="auto"/>
        <w:rPr>
          <w:rFonts w:asciiTheme="minorEastAsia" w:hAnsiTheme="minorEastAsia" w:eastAsiaTheme="minorEastAsia" w:cstheme="minorEastAsia"/>
          <w:bCs/>
          <w:color w:val="auto"/>
          <w:szCs w:val="21"/>
          <w:highlight w:val="none"/>
          <w:lang w:val="zh-CN"/>
        </w:rPr>
      </w:pPr>
      <w:r>
        <w:rPr>
          <w:rFonts w:hint="eastAsia" w:asciiTheme="minorEastAsia" w:hAnsiTheme="minorEastAsia" w:eastAsiaTheme="minorEastAsia" w:cstheme="minorEastAsia"/>
          <w:bCs/>
          <w:color w:val="auto"/>
          <w:szCs w:val="21"/>
          <w:highlight w:val="none"/>
          <w:lang w:val="zh-CN"/>
        </w:rPr>
        <w:t>招标范围线以内的窗帘盒、窗台板、输液导轨在本次招标范围</w:t>
      </w:r>
      <w:r>
        <w:rPr>
          <w:rFonts w:hint="eastAsia" w:asciiTheme="minorEastAsia" w:hAnsiTheme="minorEastAsia" w:eastAsiaTheme="minorEastAsia" w:cstheme="minorEastAsia"/>
          <w:color w:val="auto"/>
          <w:szCs w:val="21"/>
          <w:highlight w:val="none"/>
        </w:rPr>
        <w:t>内</w:t>
      </w:r>
      <w:r>
        <w:rPr>
          <w:rFonts w:hint="eastAsia" w:asciiTheme="minorEastAsia" w:hAnsiTheme="minorEastAsia" w:eastAsiaTheme="minorEastAsia" w:cstheme="minorEastAsia"/>
          <w:bCs/>
          <w:color w:val="auto"/>
          <w:szCs w:val="21"/>
          <w:highlight w:val="none"/>
          <w:lang w:val="zh-CN"/>
        </w:rPr>
        <w:t>。</w:t>
      </w:r>
    </w:p>
    <w:p>
      <w:pPr>
        <w:numPr>
          <w:ilvl w:val="0"/>
          <w:numId w:val="9"/>
        </w:numPr>
        <w:spacing w:line="360" w:lineRule="auto"/>
        <w:rPr>
          <w:rFonts w:asciiTheme="minorEastAsia" w:hAnsiTheme="minorEastAsia" w:eastAsiaTheme="minorEastAsia" w:cstheme="minorEastAsia"/>
          <w:bCs/>
          <w:color w:val="auto"/>
          <w:szCs w:val="21"/>
          <w:highlight w:val="none"/>
          <w:lang w:val="zh-CN"/>
        </w:rPr>
      </w:pPr>
      <w:r>
        <w:rPr>
          <w:rFonts w:hint="eastAsia" w:asciiTheme="minorEastAsia" w:hAnsiTheme="minorEastAsia" w:eastAsiaTheme="minorEastAsia" w:cstheme="minorEastAsia"/>
          <w:bCs/>
          <w:color w:val="auto"/>
          <w:szCs w:val="21"/>
          <w:highlight w:val="none"/>
          <w:lang w:val="zh-CN"/>
        </w:rPr>
        <w:t>招标方负责招标范围内的土建墙体砌筑、土建墙体找平压光、楼层地面地坪找平压光，以上完成后交中标方施工。</w:t>
      </w:r>
    </w:p>
    <w:p>
      <w:pPr>
        <w:numPr>
          <w:ilvl w:val="0"/>
          <w:numId w:val="9"/>
        </w:numPr>
        <w:spacing w:line="360" w:lineRule="auto"/>
        <w:rPr>
          <w:rFonts w:asciiTheme="minorEastAsia" w:hAnsiTheme="minorEastAsia" w:eastAsiaTheme="minorEastAsia" w:cstheme="minorEastAsia"/>
          <w:bCs/>
          <w:color w:val="auto"/>
          <w:szCs w:val="21"/>
          <w:highlight w:val="none"/>
          <w:lang w:val="zh-CN"/>
        </w:rPr>
      </w:pPr>
      <w:r>
        <w:rPr>
          <w:rFonts w:hint="eastAsia" w:asciiTheme="minorEastAsia" w:hAnsiTheme="minorEastAsia" w:eastAsiaTheme="minorEastAsia" w:cstheme="minorEastAsia"/>
          <w:bCs/>
          <w:color w:val="auto"/>
          <w:szCs w:val="21"/>
          <w:highlight w:val="none"/>
          <w:lang w:val="zh-CN"/>
        </w:rPr>
        <w:t>与招标方交界面门洞由招标方统一收口，中标方服从招标方进度安排。</w:t>
      </w:r>
    </w:p>
    <w:p>
      <w:pPr>
        <w:numPr>
          <w:ilvl w:val="0"/>
          <w:numId w:val="9"/>
        </w:numPr>
        <w:spacing w:line="360" w:lineRule="auto"/>
        <w:rPr>
          <w:rFonts w:asciiTheme="minorEastAsia" w:hAnsiTheme="minorEastAsia" w:eastAsiaTheme="minorEastAsia" w:cstheme="minorEastAsia"/>
          <w:bCs/>
          <w:color w:val="auto"/>
          <w:szCs w:val="21"/>
          <w:highlight w:val="none"/>
          <w:lang w:val="zh-CN"/>
        </w:rPr>
      </w:pPr>
      <w:r>
        <w:rPr>
          <w:rFonts w:hint="eastAsia" w:asciiTheme="minorEastAsia" w:hAnsiTheme="minorEastAsia" w:eastAsiaTheme="minorEastAsia" w:cstheme="minorEastAsia"/>
          <w:bCs/>
          <w:color w:val="auto"/>
          <w:szCs w:val="21"/>
          <w:highlight w:val="none"/>
          <w:lang w:val="zh-CN"/>
        </w:rPr>
        <w:t>招标范围内的固定家具（如护士站、发放台面、地柜、家具装饰柜等）、可移动家具、病床、移动设备、窗帘及导轨、床帘导轨等由招标方自行采购。</w:t>
      </w:r>
    </w:p>
    <w:p>
      <w:pPr>
        <w:numPr>
          <w:ilvl w:val="0"/>
          <w:numId w:val="9"/>
        </w:numPr>
        <w:spacing w:line="360" w:lineRule="auto"/>
        <w:rPr>
          <w:rFonts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bCs/>
          <w:color w:val="auto"/>
          <w:szCs w:val="21"/>
          <w:highlight w:val="none"/>
          <w:lang w:val="zh-CN"/>
        </w:rPr>
        <w:t>大楼幕墙安全护栏不在本次招标范围内，由招标方负责。</w:t>
      </w:r>
    </w:p>
    <w:p>
      <w:pPr>
        <w:pStyle w:val="8"/>
        <w:numPr>
          <w:ilvl w:val="0"/>
          <w:numId w:val="8"/>
        </w:numPr>
        <w:spacing w:before="0" w:after="0" w:line="360" w:lineRule="auto"/>
        <w:rPr>
          <w:rFonts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rPr>
        <w:t>空调部分</w:t>
      </w:r>
    </w:p>
    <w:p>
      <w:pPr>
        <w:numPr>
          <w:ilvl w:val="0"/>
          <w:numId w:val="10"/>
        </w:numPr>
        <w:spacing w:line="360" w:lineRule="auto"/>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空调设备：含空调机组设备、加湿设备、风管式电加热箱、风机盘管、排风机等</w:t>
      </w:r>
      <w:r>
        <w:rPr>
          <w:rFonts w:hint="eastAsia" w:asciiTheme="minorEastAsia" w:hAnsiTheme="minorEastAsia" w:eastAsiaTheme="minorEastAsia" w:cstheme="minorEastAsia"/>
          <w:bCs/>
          <w:color w:val="auto"/>
          <w:szCs w:val="21"/>
          <w:highlight w:val="none"/>
          <w:lang w:val="zh-CN"/>
        </w:rPr>
        <w:t>。</w:t>
      </w:r>
    </w:p>
    <w:p>
      <w:pPr>
        <w:numPr>
          <w:ilvl w:val="0"/>
          <w:numId w:val="10"/>
        </w:numPr>
        <w:spacing w:line="360" w:lineRule="auto"/>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空调风系统：含净化风管及附件、风管保温、风阀、软接、风口等</w:t>
      </w:r>
      <w:r>
        <w:rPr>
          <w:rFonts w:hint="eastAsia" w:asciiTheme="minorEastAsia" w:hAnsiTheme="minorEastAsia" w:eastAsiaTheme="minorEastAsia" w:cstheme="minorEastAsia"/>
          <w:bCs/>
          <w:color w:val="auto"/>
          <w:szCs w:val="21"/>
          <w:highlight w:val="none"/>
          <w:lang w:val="zh-CN"/>
        </w:rPr>
        <w:t>。</w:t>
      </w:r>
    </w:p>
    <w:p>
      <w:pPr>
        <w:numPr>
          <w:ilvl w:val="0"/>
          <w:numId w:val="10"/>
        </w:numPr>
        <w:spacing w:line="360" w:lineRule="auto"/>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冷热源：本次设计区域除儿科负压病房冷热源由大楼统一提供外</w:t>
      </w:r>
      <w:r>
        <w:rPr>
          <w:rFonts w:asciiTheme="minorEastAsia" w:hAnsiTheme="minorEastAsia" w:eastAsiaTheme="minorEastAsia" w:cstheme="minorEastAsia"/>
          <w:color w:val="auto"/>
          <w:szCs w:val="21"/>
          <w:highlight w:val="none"/>
        </w:rPr>
        <w:t>,</w:t>
      </w:r>
      <w:r>
        <w:rPr>
          <w:rFonts w:hint="eastAsia" w:asciiTheme="minorEastAsia" w:hAnsiTheme="minorEastAsia" w:eastAsiaTheme="minorEastAsia" w:cstheme="minorEastAsia"/>
          <w:color w:val="auto"/>
          <w:szCs w:val="21"/>
          <w:highlight w:val="none"/>
        </w:rPr>
        <w:t>其余区域全年冷热源采用独立冷热源，含在本次招标范围内</w:t>
      </w:r>
      <w:r>
        <w:rPr>
          <w:rFonts w:hint="eastAsia" w:asciiTheme="minorEastAsia" w:hAnsiTheme="minorEastAsia" w:eastAsiaTheme="minorEastAsia" w:cstheme="minorEastAsia"/>
          <w:bCs/>
          <w:color w:val="auto"/>
          <w:szCs w:val="21"/>
          <w:highlight w:val="none"/>
          <w:lang w:val="zh-CN"/>
        </w:rPr>
        <w:t>。</w:t>
      </w:r>
    </w:p>
    <w:p>
      <w:pPr>
        <w:pStyle w:val="3"/>
        <w:numPr>
          <w:ilvl w:val="0"/>
          <w:numId w:val="10"/>
        </w:numPr>
        <w:spacing w:line="360" w:lineRule="auto"/>
        <w:rPr>
          <w:rFonts w:asciiTheme="minorEastAsia" w:hAnsiTheme="minorEastAsia" w:eastAsiaTheme="minorEastAsia" w:cstheme="minorEastAsia"/>
          <w:color w:val="auto"/>
          <w:kern w:val="58"/>
          <w:sz w:val="21"/>
          <w:szCs w:val="21"/>
          <w:highlight w:val="none"/>
        </w:rPr>
      </w:pPr>
      <w:r>
        <w:rPr>
          <w:rFonts w:hint="eastAsia" w:asciiTheme="minorEastAsia" w:hAnsiTheme="minorEastAsia" w:eastAsiaTheme="minorEastAsia" w:cstheme="minorEastAsia"/>
          <w:color w:val="auto"/>
          <w:sz w:val="21"/>
          <w:szCs w:val="21"/>
          <w:highlight w:val="none"/>
        </w:rPr>
        <w:t>与总包暖通专业：净化区域的空调在本次招标范围内，具体如下：①空调水系统由净化单位完成至大楼预留冷热水管和加湿管道接口的图示断点处（含接口的预留阀门），断点处之前的冷热水和加湿主管等由总包暖通单位完成；②空调风系统由净化单位完成至大楼通风主管的图示断点处，断点处之前的大楼通风主管等由总包暖通单位完成</w:t>
      </w:r>
      <w:r>
        <w:rPr>
          <w:rFonts w:hint="eastAsia" w:asciiTheme="minorEastAsia" w:hAnsiTheme="minorEastAsia" w:eastAsiaTheme="minorEastAsia" w:cstheme="minorEastAsia"/>
          <w:bCs/>
          <w:color w:val="auto"/>
          <w:sz w:val="21"/>
          <w:szCs w:val="21"/>
          <w:highlight w:val="none"/>
          <w:lang w:val="zh-CN"/>
        </w:rPr>
        <w:t>。</w:t>
      </w:r>
    </w:p>
    <w:p>
      <w:pPr>
        <w:pStyle w:val="3"/>
        <w:numPr>
          <w:ilvl w:val="0"/>
          <w:numId w:val="10"/>
        </w:numPr>
        <w:spacing w:line="360" w:lineRule="auto"/>
        <w:rPr>
          <w:rFonts w:asciiTheme="minorEastAsia" w:hAnsiTheme="minorEastAsia" w:eastAsiaTheme="minorEastAsia" w:cstheme="minorEastAsia"/>
          <w:color w:val="auto"/>
          <w:kern w:val="58"/>
          <w:sz w:val="21"/>
          <w:szCs w:val="21"/>
          <w:highlight w:val="none"/>
        </w:rPr>
      </w:pPr>
      <w:r>
        <w:rPr>
          <w:rFonts w:hint="eastAsia" w:asciiTheme="minorEastAsia" w:hAnsiTheme="minorEastAsia" w:eastAsiaTheme="minorEastAsia" w:cstheme="minorEastAsia"/>
          <w:color w:val="auto"/>
          <w:kern w:val="58"/>
          <w:sz w:val="21"/>
          <w:szCs w:val="21"/>
          <w:highlight w:val="none"/>
        </w:rPr>
        <w:t>图纸已设计的玻璃钢风机、</w:t>
      </w:r>
      <w:r>
        <w:rPr>
          <w:rFonts w:asciiTheme="minorEastAsia" w:hAnsiTheme="minorEastAsia" w:eastAsiaTheme="minorEastAsia" w:cstheme="minorEastAsia"/>
          <w:color w:val="auto"/>
          <w:kern w:val="58"/>
          <w:sz w:val="21"/>
          <w:szCs w:val="21"/>
          <w:highlight w:val="none"/>
        </w:rPr>
        <w:t>PP风管及其部件均在本次招标范围内。</w:t>
      </w:r>
    </w:p>
    <w:p>
      <w:pPr>
        <w:pStyle w:val="3"/>
        <w:rPr>
          <w:rFonts w:asciiTheme="minorEastAsia" w:hAnsiTheme="minorEastAsia" w:eastAsiaTheme="minorEastAsia" w:cstheme="minorEastAsia"/>
          <w:color w:val="auto"/>
          <w:sz w:val="21"/>
          <w:szCs w:val="21"/>
          <w:highlight w:val="none"/>
        </w:rPr>
      </w:pPr>
      <w:r>
        <w:rPr>
          <w:rFonts w:asciiTheme="minorEastAsia" w:hAnsiTheme="minorEastAsia" w:eastAsiaTheme="minorEastAsia" w:cstheme="minorEastAsia"/>
          <w:color w:val="auto"/>
          <w:sz w:val="21"/>
          <w:szCs w:val="21"/>
          <w:highlight w:val="none"/>
        </w:rPr>
        <w:t xml:space="preserve"> 3.</w:t>
      </w:r>
      <w:r>
        <w:rPr>
          <w:rFonts w:hint="eastAsia" w:asciiTheme="minorEastAsia" w:hAnsiTheme="minorEastAsia" w:eastAsiaTheme="minorEastAsia" w:cstheme="minorEastAsia"/>
          <w:color w:val="auto"/>
          <w:sz w:val="21"/>
          <w:szCs w:val="21"/>
          <w:highlight w:val="none"/>
        </w:rPr>
        <w:t>强电部分</w:t>
      </w:r>
    </w:p>
    <w:p>
      <w:pPr>
        <w:pStyle w:val="3"/>
        <w:numPr>
          <w:ilvl w:val="0"/>
          <w:numId w:val="11"/>
        </w:numPr>
        <w:spacing w:line="360" w:lineRule="auto"/>
        <w:rPr>
          <w:rFonts w:asciiTheme="minorEastAsia" w:hAnsiTheme="minorEastAsia" w:eastAsiaTheme="minorEastAsia" w:cstheme="minorEastAsia"/>
          <w:color w:val="auto"/>
          <w:kern w:val="58"/>
          <w:sz w:val="21"/>
          <w:szCs w:val="21"/>
          <w:highlight w:val="none"/>
        </w:rPr>
      </w:pPr>
      <w:r>
        <w:rPr>
          <w:rFonts w:hint="eastAsia" w:asciiTheme="minorEastAsia" w:hAnsiTheme="minorEastAsia" w:eastAsiaTheme="minorEastAsia" w:cstheme="minorEastAsia"/>
          <w:color w:val="auto"/>
          <w:kern w:val="58"/>
          <w:sz w:val="21"/>
          <w:szCs w:val="21"/>
          <w:highlight w:val="none"/>
        </w:rPr>
        <w:t>总承包单位负责从低压配电柜到洁净区域一级箱内上端头管线施工；但其余</w:t>
      </w:r>
      <w:r>
        <w:rPr>
          <w:rFonts w:hint="eastAsia" w:asciiTheme="minorEastAsia" w:hAnsiTheme="minorEastAsia" w:eastAsiaTheme="minorEastAsia" w:cstheme="minorEastAsia"/>
          <w:bCs/>
          <w:color w:val="auto"/>
          <w:sz w:val="21"/>
          <w:szCs w:val="21"/>
          <w:highlight w:val="none"/>
          <w:lang w:val="zh-CN"/>
        </w:rPr>
        <w:t>净化</w:t>
      </w:r>
      <w:r>
        <w:rPr>
          <w:rFonts w:hint="eastAsia" w:asciiTheme="minorEastAsia" w:hAnsiTheme="minorEastAsia" w:eastAsiaTheme="minorEastAsia" w:cstheme="minorEastAsia"/>
          <w:color w:val="auto"/>
          <w:kern w:val="58"/>
          <w:sz w:val="21"/>
          <w:szCs w:val="21"/>
          <w:highlight w:val="none"/>
        </w:rPr>
        <w:t>区域所属的配套配电柜（含双路切换功能及各净化区配电箱）和控制柜（含控制系统、软件、硬件）及相应的桥架、管线、</w:t>
      </w:r>
      <w:r>
        <w:rPr>
          <w:rFonts w:hint="eastAsia" w:asciiTheme="minorEastAsia" w:hAnsiTheme="minorEastAsia" w:eastAsiaTheme="minorEastAsia" w:cstheme="minorEastAsia"/>
          <w:color w:val="auto"/>
          <w:sz w:val="21"/>
          <w:szCs w:val="21"/>
          <w:highlight w:val="none"/>
        </w:rPr>
        <w:t>照明、插座等均</w:t>
      </w:r>
      <w:r>
        <w:rPr>
          <w:rFonts w:hint="eastAsia" w:asciiTheme="minorEastAsia" w:hAnsiTheme="minorEastAsia" w:eastAsiaTheme="minorEastAsia" w:cstheme="minorEastAsia"/>
          <w:bCs/>
          <w:color w:val="auto"/>
          <w:sz w:val="21"/>
          <w:szCs w:val="21"/>
          <w:highlight w:val="none"/>
          <w:lang w:val="zh-CN"/>
        </w:rPr>
        <w:t>在本次招标范围</w:t>
      </w:r>
      <w:r>
        <w:rPr>
          <w:rFonts w:hint="eastAsia" w:asciiTheme="minorEastAsia" w:hAnsiTheme="minorEastAsia" w:eastAsiaTheme="minorEastAsia" w:cstheme="minorEastAsia"/>
          <w:color w:val="auto"/>
          <w:sz w:val="21"/>
          <w:szCs w:val="21"/>
          <w:highlight w:val="none"/>
        </w:rPr>
        <w:t>（疏散指示灯、应急照明灯、设备层的照明、插座配电除外）</w:t>
      </w:r>
      <w:r>
        <w:rPr>
          <w:rFonts w:hint="eastAsia" w:asciiTheme="minorEastAsia" w:hAnsiTheme="minorEastAsia" w:eastAsiaTheme="minorEastAsia" w:cstheme="minorEastAsia"/>
          <w:bCs/>
          <w:color w:val="auto"/>
          <w:sz w:val="21"/>
          <w:szCs w:val="21"/>
          <w:highlight w:val="none"/>
          <w:lang w:val="zh-CN"/>
        </w:rPr>
        <w:t>。</w:t>
      </w:r>
    </w:p>
    <w:p>
      <w:pPr>
        <w:numPr>
          <w:ilvl w:val="0"/>
          <w:numId w:val="11"/>
        </w:numPr>
        <w:spacing w:line="360" w:lineRule="auto"/>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bCs/>
          <w:color w:val="auto"/>
          <w:szCs w:val="21"/>
          <w:highlight w:val="none"/>
          <w:lang w:val="zh-CN"/>
        </w:rPr>
        <w:t>净化</w:t>
      </w:r>
      <w:r>
        <w:rPr>
          <w:rFonts w:hint="eastAsia" w:asciiTheme="minorEastAsia" w:hAnsiTheme="minorEastAsia" w:eastAsiaTheme="minorEastAsia" w:cstheme="minorEastAsia"/>
          <w:color w:val="auto"/>
          <w:kern w:val="58"/>
          <w:szCs w:val="21"/>
          <w:highlight w:val="none"/>
        </w:rPr>
        <w:t>和非</w:t>
      </w:r>
      <w:r>
        <w:rPr>
          <w:rFonts w:hint="eastAsia" w:asciiTheme="minorEastAsia" w:hAnsiTheme="minorEastAsia" w:eastAsiaTheme="minorEastAsia" w:cstheme="minorEastAsia"/>
          <w:bCs/>
          <w:color w:val="auto"/>
          <w:szCs w:val="21"/>
          <w:highlight w:val="none"/>
          <w:lang w:val="zh-CN"/>
        </w:rPr>
        <w:t>净化</w:t>
      </w:r>
      <w:r>
        <w:rPr>
          <w:rFonts w:hint="eastAsia" w:asciiTheme="minorEastAsia" w:hAnsiTheme="minorEastAsia" w:eastAsiaTheme="minorEastAsia" w:cstheme="minorEastAsia"/>
          <w:color w:val="auto"/>
          <w:kern w:val="58"/>
          <w:szCs w:val="21"/>
          <w:highlight w:val="none"/>
        </w:rPr>
        <w:t>区域的手术室、</w:t>
      </w:r>
      <w:r>
        <w:rPr>
          <w:rFonts w:asciiTheme="minorEastAsia" w:hAnsiTheme="minorEastAsia" w:eastAsiaTheme="minorEastAsia" w:cstheme="minorEastAsia"/>
          <w:color w:val="auto"/>
          <w:kern w:val="58"/>
          <w:szCs w:val="21"/>
          <w:highlight w:val="none"/>
        </w:rPr>
        <w:t>ICU、抢救室的医院2类医疗场所内的所有医疗隔离电源IT系统装置均</w:t>
      </w:r>
      <w:r>
        <w:rPr>
          <w:rFonts w:hint="eastAsia" w:asciiTheme="minorEastAsia" w:hAnsiTheme="minorEastAsia" w:eastAsiaTheme="minorEastAsia" w:cstheme="minorEastAsia"/>
          <w:bCs/>
          <w:color w:val="auto"/>
          <w:szCs w:val="21"/>
          <w:highlight w:val="none"/>
          <w:lang w:val="zh-CN"/>
        </w:rPr>
        <w:t>在本次招标范围</w:t>
      </w:r>
      <w:r>
        <w:rPr>
          <w:rFonts w:hint="eastAsia" w:asciiTheme="minorEastAsia" w:hAnsiTheme="minorEastAsia" w:eastAsiaTheme="minorEastAsia" w:cstheme="minorEastAsia"/>
          <w:color w:val="auto"/>
          <w:szCs w:val="21"/>
          <w:highlight w:val="none"/>
        </w:rPr>
        <w:t>内</w:t>
      </w:r>
      <w:r>
        <w:rPr>
          <w:rFonts w:hint="eastAsia" w:asciiTheme="minorEastAsia" w:hAnsiTheme="minorEastAsia" w:eastAsiaTheme="minorEastAsia" w:cstheme="minorEastAsia"/>
          <w:color w:val="auto"/>
          <w:kern w:val="58"/>
          <w:szCs w:val="21"/>
          <w:highlight w:val="none"/>
        </w:rPr>
        <w:t>。</w:t>
      </w:r>
    </w:p>
    <w:p>
      <w:pPr>
        <w:pStyle w:val="8"/>
        <w:numPr>
          <w:ilvl w:val="0"/>
          <w:numId w:val="12"/>
        </w:numPr>
        <w:spacing w:before="0" w:after="0" w:line="360" w:lineRule="auto"/>
        <w:rPr>
          <w:rFonts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rPr>
        <w:t>弱电部分</w:t>
      </w:r>
    </w:p>
    <w:p>
      <w:pPr>
        <w:numPr>
          <w:ilvl w:val="0"/>
          <w:numId w:val="13"/>
        </w:numPr>
        <w:spacing w:line="360" w:lineRule="auto"/>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各科室净化区域内的背景音乐、网络、电话、呼叫、监控、门禁、空调自控等弱电系统的采购及安装在本次招标范围内；但医院设备网、远程电脑监控、弱电间设备由智能化专业单位施工，非净化区的弱电系统不在本次招标范围内</w:t>
      </w:r>
      <w:r>
        <w:rPr>
          <w:rFonts w:hint="eastAsia" w:asciiTheme="minorEastAsia" w:hAnsiTheme="minorEastAsia" w:eastAsiaTheme="minorEastAsia" w:cstheme="minorEastAsia"/>
          <w:bCs/>
          <w:color w:val="auto"/>
          <w:szCs w:val="21"/>
          <w:highlight w:val="none"/>
          <w:lang w:val="zh-CN"/>
        </w:rPr>
        <w:t>。</w:t>
      </w:r>
    </w:p>
    <w:p>
      <w:pPr>
        <w:numPr>
          <w:ilvl w:val="0"/>
          <w:numId w:val="13"/>
        </w:numPr>
        <w:spacing w:line="360" w:lineRule="auto"/>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手术部配置</w:t>
      </w:r>
      <w:r>
        <w:rPr>
          <w:rFonts w:asciiTheme="minorEastAsia" w:hAnsiTheme="minorEastAsia" w:eastAsiaTheme="minorEastAsia" w:cstheme="minorEastAsia"/>
          <w:color w:val="auto"/>
          <w:szCs w:val="21"/>
          <w:highlight w:val="none"/>
        </w:rPr>
        <w:t>1间数字化系统。相关软件、硬件的采购及施工在本次招标范围内</w:t>
      </w:r>
      <w:r>
        <w:rPr>
          <w:rFonts w:hint="eastAsia" w:asciiTheme="minorEastAsia" w:hAnsiTheme="minorEastAsia" w:eastAsiaTheme="minorEastAsia" w:cstheme="minorEastAsia"/>
          <w:bCs/>
          <w:color w:val="auto"/>
          <w:szCs w:val="21"/>
          <w:highlight w:val="none"/>
          <w:lang w:val="zh-CN"/>
        </w:rPr>
        <w:t>。</w:t>
      </w:r>
    </w:p>
    <w:p>
      <w:pPr>
        <w:numPr>
          <w:ilvl w:val="0"/>
          <w:numId w:val="13"/>
        </w:numPr>
        <w:spacing w:line="360" w:lineRule="auto"/>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病理科净化区域内设置的智能空气质量检测，相关设备、管线、实验台的采购及施工在本次招标范围内。</w:t>
      </w:r>
    </w:p>
    <w:p>
      <w:pPr>
        <w:pStyle w:val="8"/>
        <w:numPr>
          <w:ilvl w:val="0"/>
          <w:numId w:val="12"/>
        </w:numPr>
        <w:spacing w:before="0" w:after="0" w:line="360" w:lineRule="auto"/>
        <w:rPr>
          <w:rFonts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rPr>
        <w:t>给排水部分</w:t>
      </w:r>
    </w:p>
    <w:p>
      <w:pPr>
        <w:pStyle w:val="3"/>
        <w:numPr>
          <w:ilvl w:val="0"/>
          <w:numId w:val="14"/>
        </w:numPr>
        <w:spacing w:line="360" w:lineRule="auto"/>
        <w:rPr>
          <w:rFonts w:asciiTheme="minorEastAsia" w:hAnsiTheme="minorEastAsia" w:eastAsiaTheme="minorEastAsia" w:cstheme="minorEastAsia"/>
          <w:color w:val="auto"/>
          <w:kern w:val="58"/>
          <w:sz w:val="21"/>
          <w:szCs w:val="21"/>
          <w:highlight w:val="none"/>
        </w:rPr>
      </w:pPr>
      <w:r>
        <w:rPr>
          <w:rFonts w:hint="eastAsia" w:asciiTheme="minorEastAsia" w:hAnsiTheme="minorEastAsia" w:eastAsiaTheme="minorEastAsia" w:cstheme="minorEastAsia"/>
          <w:color w:val="auto"/>
          <w:sz w:val="21"/>
          <w:szCs w:val="21"/>
          <w:highlight w:val="none"/>
        </w:rPr>
        <w:t>总承包单位负责给排水立管敷设，并在同层立管预留给排水接口。</w:t>
      </w:r>
      <w:r>
        <w:rPr>
          <w:rFonts w:hint="eastAsia" w:asciiTheme="minorEastAsia" w:hAnsiTheme="minorEastAsia" w:eastAsiaTheme="minorEastAsia" w:cstheme="minorEastAsia"/>
          <w:color w:val="auto"/>
          <w:kern w:val="58"/>
          <w:sz w:val="21"/>
          <w:szCs w:val="21"/>
          <w:highlight w:val="none"/>
        </w:rPr>
        <w:t>净化给水图纸范围内的冷热水支管从</w:t>
      </w:r>
      <w:r>
        <w:rPr>
          <w:rFonts w:hint="eastAsia" w:asciiTheme="minorEastAsia" w:hAnsiTheme="minorEastAsia" w:eastAsiaTheme="minorEastAsia" w:cstheme="minorEastAsia"/>
          <w:color w:val="auto"/>
          <w:sz w:val="21"/>
          <w:szCs w:val="21"/>
          <w:highlight w:val="none"/>
        </w:rPr>
        <w:t>同层立管预留给水接口</w:t>
      </w:r>
      <w:r>
        <w:rPr>
          <w:rFonts w:hint="eastAsia" w:asciiTheme="minorEastAsia" w:hAnsiTheme="minorEastAsia" w:eastAsiaTheme="minorEastAsia" w:cstheme="minorEastAsia"/>
          <w:color w:val="auto"/>
          <w:kern w:val="58"/>
          <w:sz w:val="21"/>
          <w:szCs w:val="21"/>
          <w:highlight w:val="none"/>
        </w:rPr>
        <w:t>开始至卫生洁具及（刷手池、污洗池）设备末端在本次招标范围内；排水支管及地漏在本次招标范围内。</w:t>
      </w:r>
    </w:p>
    <w:p>
      <w:pPr>
        <w:pStyle w:val="3"/>
        <w:ind w:firstLine="420" w:firstLineChars="200"/>
        <w:rPr>
          <w:rFonts w:asciiTheme="minorEastAsia" w:hAnsiTheme="minorEastAsia" w:eastAsiaTheme="minorEastAsia" w:cstheme="minorEastAsia"/>
          <w:color w:val="auto"/>
          <w:kern w:val="58"/>
          <w:sz w:val="21"/>
          <w:szCs w:val="21"/>
          <w:highlight w:val="none"/>
        </w:rPr>
      </w:pPr>
      <w:r>
        <w:rPr>
          <w:rFonts w:hint="eastAsia" w:asciiTheme="minorEastAsia" w:hAnsiTheme="minorEastAsia" w:eastAsiaTheme="minorEastAsia" w:cstheme="minorEastAsia"/>
          <w:color w:val="auto"/>
          <w:kern w:val="58"/>
          <w:sz w:val="21"/>
          <w:szCs w:val="21"/>
          <w:highlight w:val="none"/>
          <w:lang w:val="en-US" w:eastAsia="zh-CN"/>
        </w:rPr>
        <w:t>6</w:t>
      </w:r>
      <w:r>
        <w:rPr>
          <w:rFonts w:asciiTheme="minorEastAsia" w:hAnsiTheme="minorEastAsia" w:eastAsiaTheme="minorEastAsia" w:cstheme="minorEastAsia"/>
          <w:color w:val="auto"/>
          <w:kern w:val="58"/>
          <w:sz w:val="21"/>
          <w:szCs w:val="21"/>
          <w:highlight w:val="none"/>
        </w:rPr>
        <w:t>.</w:t>
      </w:r>
      <w:r>
        <w:rPr>
          <w:rFonts w:hint="eastAsia" w:asciiTheme="minorEastAsia" w:hAnsiTheme="minorEastAsia" w:eastAsiaTheme="minorEastAsia" w:cstheme="minorEastAsia"/>
          <w:color w:val="auto"/>
          <w:kern w:val="58"/>
          <w:sz w:val="21"/>
          <w:szCs w:val="21"/>
          <w:highlight w:val="none"/>
        </w:rPr>
        <w:t>与总承包等其他专业</w:t>
      </w:r>
    </w:p>
    <w:p>
      <w:pPr>
        <w:numPr>
          <w:ilvl w:val="0"/>
          <w:numId w:val="15"/>
        </w:numPr>
        <w:spacing w:line="360" w:lineRule="auto"/>
        <w:rPr>
          <w:rFonts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t>土建墙体砌筑、粉刷及加固、地面找平、空调机房的搭建及装修（净化空调机房、新风机房、排风机房等</w:t>
      </w:r>
      <w:r>
        <w:rPr>
          <w:rFonts w:hint="eastAsia" w:asciiTheme="minorEastAsia" w:hAnsiTheme="minorEastAsia" w:eastAsiaTheme="minorEastAsia" w:cstheme="minorEastAsia"/>
          <w:color w:val="auto"/>
          <w:szCs w:val="21"/>
          <w:highlight w:val="none"/>
        </w:rPr>
        <w:t>的装饰装修、地面找平及地面防水</w:t>
      </w:r>
      <w:r>
        <w:rPr>
          <w:rFonts w:hint="eastAsia" w:asciiTheme="minorEastAsia" w:hAnsiTheme="minorEastAsia" w:eastAsiaTheme="minorEastAsia" w:cstheme="minorEastAsia"/>
          <w:bCs/>
          <w:color w:val="auto"/>
          <w:szCs w:val="21"/>
          <w:highlight w:val="none"/>
        </w:rPr>
        <w:t>）、外围结构、所有电梯、电梯厅、楼梯间、前室、等候大厅、各种管井、强电井、弱电井、外窗、办公家具等工程不在招标范围内</w:t>
      </w:r>
      <w:r>
        <w:rPr>
          <w:rFonts w:hint="eastAsia" w:asciiTheme="minorEastAsia" w:hAnsiTheme="minorEastAsia" w:eastAsiaTheme="minorEastAsia" w:cstheme="minorEastAsia"/>
          <w:bCs/>
          <w:color w:val="auto"/>
          <w:szCs w:val="21"/>
          <w:highlight w:val="none"/>
          <w:lang w:val="zh-CN"/>
        </w:rPr>
        <w:t>。</w:t>
      </w:r>
    </w:p>
    <w:p>
      <w:pPr>
        <w:numPr>
          <w:ilvl w:val="0"/>
          <w:numId w:val="15"/>
        </w:numPr>
        <w:spacing w:line="360" w:lineRule="auto"/>
        <w:rPr>
          <w:rFonts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t>消防系统（消火栓、消防喷淋管道、消防报警、防火隔断、防火门、疏散标志</w:t>
      </w:r>
      <w:r>
        <w:rPr>
          <w:rFonts w:asciiTheme="minorEastAsia" w:hAnsiTheme="minorEastAsia" w:eastAsiaTheme="minorEastAsia" w:cstheme="minorEastAsia"/>
          <w:bCs/>
          <w:color w:val="auto"/>
          <w:szCs w:val="21"/>
          <w:highlight w:val="none"/>
        </w:rPr>
        <w:t>/照明、消防排烟、应急照明等）的设计及施工不属此次招标范围。本次招标各科室的消防建审及验收由招标方牵头，中标方配合消防专业图审及验收</w:t>
      </w:r>
      <w:r>
        <w:rPr>
          <w:rFonts w:hint="eastAsia" w:asciiTheme="minorEastAsia" w:hAnsiTheme="minorEastAsia" w:eastAsiaTheme="minorEastAsia" w:cstheme="minorEastAsia"/>
          <w:bCs/>
          <w:color w:val="auto"/>
          <w:szCs w:val="21"/>
          <w:highlight w:val="none"/>
          <w:lang w:val="zh-CN"/>
        </w:rPr>
        <w:t>。</w:t>
      </w:r>
    </w:p>
    <w:p>
      <w:pPr>
        <w:pStyle w:val="3"/>
        <w:numPr>
          <w:ilvl w:val="0"/>
          <w:numId w:val="15"/>
        </w:numPr>
        <w:spacing w:line="360" w:lineRule="auto"/>
        <w:rPr>
          <w:rFonts w:asciiTheme="minorEastAsia" w:hAnsiTheme="minorEastAsia" w:eastAsiaTheme="minorEastAsia" w:cstheme="minorEastAsia"/>
          <w:color w:val="auto"/>
          <w:kern w:val="58"/>
          <w:sz w:val="21"/>
          <w:szCs w:val="21"/>
          <w:highlight w:val="none"/>
        </w:rPr>
      </w:pPr>
      <w:r>
        <w:rPr>
          <w:rFonts w:hint="eastAsia" w:asciiTheme="minorEastAsia" w:hAnsiTheme="minorEastAsia" w:eastAsiaTheme="minorEastAsia" w:cstheme="minorEastAsia"/>
          <w:color w:val="auto"/>
          <w:kern w:val="58"/>
          <w:sz w:val="21"/>
          <w:szCs w:val="21"/>
          <w:highlight w:val="none"/>
        </w:rPr>
        <w:t>抗震支架由总承包深化设计并施工完成，不在本次招标范围</w:t>
      </w:r>
      <w:r>
        <w:rPr>
          <w:rFonts w:hint="eastAsia" w:asciiTheme="minorEastAsia" w:hAnsiTheme="minorEastAsia" w:eastAsiaTheme="minorEastAsia" w:cstheme="minorEastAsia"/>
          <w:bCs/>
          <w:color w:val="auto"/>
          <w:sz w:val="21"/>
          <w:szCs w:val="21"/>
          <w:highlight w:val="none"/>
          <w:lang w:val="zh-CN"/>
        </w:rPr>
        <w:t>。</w:t>
      </w:r>
    </w:p>
    <w:p>
      <w:pPr>
        <w:numPr>
          <w:ilvl w:val="0"/>
          <w:numId w:val="15"/>
        </w:numPr>
        <w:spacing w:line="360" w:lineRule="auto"/>
        <w:rPr>
          <w:rFonts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t>总包与净化专项均有图纸设计的：按净化专项图纸由净化专项单位完成并计入本次招标范围，总包取消；总包与净化专项均无图纸设计的：若在净化区域或需达到医疗专项功能要求的则由净化专项单位完成，若与医疗专项无关的则由总包单位完成。</w:t>
      </w:r>
    </w:p>
    <w:p>
      <w:pPr>
        <w:numPr>
          <w:ilvl w:val="0"/>
          <w:numId w:val="15"/>
        </w:numPr>
        <w:spacing w:line="360" w:lineRule="auto"/>
        <w:rPr>
          <w:color w:val="auto"/>
          <w:highlight w:val="none"/>
        </w:rPr>
      </w:pPr>
      <w:r>
        <w:rPr>
          <w:rFonts w:hint="eastAsia" w:ascii="宋体" w:hAnsi="宋体" w:cs="宋体"/>
          <w:bCs/>
          <w:color w:val="auto"/>
          <w:szCs w:val="21"/>
          <w:highlight w:val="none"/>
        </w:rPr>
        <w:t>以上各科室的办公区区域均不在本次招标范围内。</w:t>
      </w:r>
    </w:p>
    <w:p>
      <w:pPr>
        <w:numPr>
          <w:ilvl w:val="0"/>
          <w:numId w:val="15"/>
        </w:numPr>
        <w:spacing w:line="360" w:lineRule="auto"/>
        <w:rPr>
          <w:rFonts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t>施工时应与土建、给排水、暖通、电力、装修等专业密切配合，做好管线、电缆桥架穿楼板等项工作等，涉及管线开槽、沟槽填平等费用均由中标单位负责。</w:t>
      </w:r>
    </w:p>
    <w:p>
      <w:pPr>
        <w:numPr>
          <w:ilvl w:val="0"/>
          <w:numId w:val="15"/>
        </w:numPr>
        <w:spacing w:line="360" w:lineRule="auto"/>
        <w:rPr>
          <w:rFonts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t>在工程的实施过程中，与水、电、暖通专业的设备接线应对照各专业的施工图进行，原则上，各专业的抄收表在本专业的回路上，不得在同一条抄收回路上混接水、电、气表。</w:t>
      </w:r>
    </w:p>
    <w:p>
      <w:pPr>
        <w:pStyle w:val="6"/>
        <w:jc w:val="left"/>
        <w:rPr>
          <w:rFonts w:ascii="宋体" w:hAnsi="宋体"/>
          <w:color w:val="auto"/>
          <w:sz w:val="28"/>
          <w:szCs w:val="28"/>
          <w:highlight w:val="none"/>
        </w:rPr>
      </w:pPr>
      <w:r>
        <w:rPr>
          <w:rFonts w:hint="eastAsia" w:ascii="宋体" w:hAnsi="宋体"/>
          <w:color w:val="auto"/>
          <w:sz w:val="28"/>
          <w:szCs w:val="28"/>
          <w:highlight w:val="none"/>
        </w:rPr>
        <w:t>第一节 手术部、隔离待产分娩病房、产房手术室技术要求</w:t>
      </w:r>
    </w:p>
    <w:p>
      <w:pPr>
        <w:pStyle w:val="9"/>
        <w:numPr>
          <w:ilvl w:val="0"/>
          <w:numId w:val="16"/>
        </w:numPr>
        <w:spacing w:before="0" w:after="0" w:line="360" w:lineRule="auto"/>
        <w:rPr>
          <w:rFonts w:ascii="宋体" w:hAnsi="宋体" w:cs="宋体"/>
          <w:color w:val="auto"/>
          <w:sz w:val="21"/>
          <w:szCs w:val="21"/>
          <w:highlight w:val="none"/>
        </w:rPr>
      </w:pPr>
      <w:r>
        <w:rPr>
          <w:rFonts w:hint="eastAsia" w:ascii="宋体" w:hAnsi="宋体" w:cs="宋体"/>
          <w:color w:val="auto"/>
          <w:sz w:val="21"/>
          <w:szCs w:val="21"/>
          <w:highlight w:val="none"/>
        </w:rPr>
        <w:t>装饰系统技术要求</w:t>
      </w:r>
    </w:p>
    <w:p>
      <w:pPr>
        <w:pStyle w:val="9"/>
        <w:numPr>
          <w:ilvl w:val="0"/>
          <w:numId w:val="17"/>
        </w:numPr>
        <w:adjustRightInd w:val="0"/>
        <w:snapToGrid w:val="0"/>
        <w:spacing w:before="0" w:after="0" w:line="360" w:lineRule="auto"/>
        <w:rPr>
          <w:rFonts w:ascii="宋体" w:hAnsi="宋体" w:cs="宋体"/>
          <w:color w:val="auto"/>
          <w:sz w:val="21"/>
          <w:szCs w:val="21"/>
          <w:highlight w:val="none"/>
        </w:rPr>
      </w:pPr>
      <w:r>
        <w:rPr>
          <w:rFonts w:hint="eastAsia" w:ascii="宋体" w:hAnsi="宋体" w:cs="宋体"/>
          <w:color w:val="auto"/>
          <w:sz w:val="21"/>
          <w:szCs w:val="21"/>
          <w:highlight w:val="none"/>
        </w:rPr>
        <w:t>手术部基本配置：</w:t>
      </w:r>
    </w:p>
    <w:p>
      <w:pPr>
        <w:numPr>
          <w:ilvl w:val="0"/>
          <w:numId w:val="18"/>
        </w:numPr>
        <w:spacing w:line="360" w:lineRule="auto"/>
        <w:rPr>
          <w:rFonts w:ascii="宋体" w:hAnsi="宋体" w:cs="宋体"/>
          <w:color w:val="auto"/>
          <w:szCs w:val="21"/>
          <w:highlight w:val="none"/>
        </w:rPr>
      </w:pPr>
      <w:r>
        <w:rPr>
          <w:rFonts w:hint="eastAsia" w:ascii="宋体" w:hAnsi="宋体" w:cs="宋体"/>
          <w:color w:val="auto"/>
          <w:szCs w:val="21"/>
          <w:highlight w:val="none"/>
        </w:rPr>
        <w:t>每间手术室基本装备（综合手术部、产房手术室、DSA）</w:t>
      </w:r>
    </w:p>
    <w:tbl>
      <w:tblPr>
        <w:tblStyle w:val="27"/>
        <w:tblW w:w="9019" w:type="dxa"/>
        <w:tblInd w:w="-11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121"/>
        <w:gridCol w:w="1888"/>
        <w:gridCol w:w="10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atLeast"/>
        </w:trPr>
        <w:tc>
          <w:tcPr>
            <w:tcW w:w="6121" w:type="dxa"/>
            <w:vAlign w:val="center"/>
          </w:tcPr>
          <w:p>
            <w:pPr>
              <w:spacing w:line="360" w:lineRule="auto"/>
              <w:rPr>
                <w:rFonts w:ascii="宋体" w:hAnsi="宋体" w:cs="宋体"/>
                <w:color w:val="auto"/>
                <w:szCs w:val="21"/>
                <w:highlight w:val="none"/>
              </w:rPr>
            </w:pPr>
            <w:r>
              <w:rPr>
                <w:rFonts w:hint="eastAsia" w:ascii="宋体" w:hAnsi="宋体" w:cs="宋体"/>
                <w:color w:val="auto"/>
                <w:szCs w:val="21"/>
                <w:highlight w:val="none"/>
              </w:rPr>
              <w:t>配 置 要 求</w:t>
            </w:r>
          </w:p>
        </w:tc>
        <w:tc>
          <w:tcPr>
            <w:tcW w:w="1888" w:type="dxa"/>
            <w:vAlign w:val="center"/>
          </w:tcPr>
          <w:p>
            <w:pPr>
              <w:spacing w:line="360" w:lineRule="auto"/>
              <w:rPr>
                <w:rFonts w:ascii="宋体" w:hAnsi="宋体" w:cs="宋体"/>
                <w:color w:val="auto"/>
                <w:szCs w:val="21"/>
                <w:highlight w:val="none"/>
              </w:rPr>
            </w:pPr>
            <w:r>
              <w:rPr>
                <w:rFonts w:hint="eastAsia" w:ascii="宋体" w:hAnsi="宋体" w:cs="宋体"/>
                <w:color w:val="auto"/>
                <w:szCs w:val="21"/>
                <w:highlight w:val="none"/>
              </w:rPr>
              <w:t>装备名称</w:t>
            </w:r>
          </w:p>
        </w:tc>
        <w:tc>
          <w:tcPr>
            <w:tcW w:w="1010" w:type="dxa"/>
            <w:vAlign w:val="center"/>
          </w:tcPr>
          <w:p>
            <w:pPr>
              <w:spacing w:line="360" w:lineRule="auto"/>
              <w:rPr>
                <w:rFonts w:ascii="宋体" w:hAnsi="宋体" w:cs="宋体"/>
                <w:color w:val="auto"/>
                <w:szCs w:val="21"/>
                <w:highlight w:val="none"/>
              </w:rPr>
            </w:pPr>
            <w:r>
              <w:rPr>
                <w:rFonts w:hint="eastAsia" w:ascii="宋体" w:hAnsi="宋体" w:cs="宋体"/>
                <w:color w:val="auto"/>
                <w:szCs w:val="21"/>
                <w:highlight w:val="none"/>
              </w:rPr>
              <w:t>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07" w:hRule="atLeast"/>
        </w:trPr>
        <w:tc>
          <w:tcPr>
            <w:tcW w:w="6121" w:type="dxa"/>
            <w:vAlign w:val="center"/>
          </w:tcPr>
          <w:p>
            <w:pPr>
              <w:spacing w:line="360" w:lineRule="auto"/>
              <w:rPr>
                <w:color w:val="auto"/>
                <w:highlight w:val="none"/>
              </w:rPr>
            </w:pPr>
            <w:r>
              <w:rPr>
                <w:rFonts w:hint="eastAsia"/>
                <w:color w:val="auto"/>
                <w:highlight w:val="none"/>
              </w:rPr>
              <w:t>系统采用最新安卓系统版本、图型动态画面显示，图型界面任意放大、缩小，自由拖拽、可点击、可刷屏。</w:t>
            </w:r>
          </w:p>
          <w:p>
            <w:pPr>
              <w:spacing w:line="360" w:lineRule="auto"/>
              <w:rPr>
                <w:color w:val="auto"/>
                <w:highlight w:val="none"/>
              </w:rPr>
            </w:pPr>
            <w:r>
              <w:rPr>
                <w:rFonts w:hint="eastAsia"/>
                <w:color w:val="auto"/>
                <w:highlight w:val="none"/>
              </w:rPr>
              <w:t>含手术计时、麻醉计时、北京时间、空调监测、IT 电源监测、气体报警、电话/群呼、背景音乐、自选音乐、灯光照明控制及消防报警指示等功能。</w:t>
            </w:r>
          </w:p>
          <w:p>
            <w:pPr>
              <w:rPr>
                <w:color w:val="auto"/>
                <w:highlight w:val="none"/>
              </w:rPr>
            </w:pPr>
          </w:p>
          <w:p>
            <w:pPr>
              <w:rPr>
                <w:color w:val="auto"/>
                <w:highlight w:val="none"/>
              </w:rPr>
            </w:pPr>
          </w:p>
          <w:p>
            <w:pPr>
              <w:rPr>
                <w:color w:val="auto"/>
                <w:highlight w:val="none"/>
              </w:rPr>
            </w:pPr>
          </w:p>
          <w:p>
            <w:pPr>
              <w:rPr>
                <w:color w:val="auto"/>
                <w:highlight w:val="none"/>
              </w:rPr>
            </w:pPr>
          </w:p>
          <w:p>
            <w:pPr>
              <w:spacing w:line="360" w:lineRule="auto"/>
              <w:rPr>
                <w:color w:val="auto"/>
                <w:highlight w:val="none"/>
              </w:rPr>
            </w:pPr>
            <w:r>
              <w:rPr>
                <w:rFonts w:hint="eastAsia"/>
                <w:color w:val="auto"/>
                <w:highlight w:val="none"/>
              </w:rPr>
              <w:t>全镜面触摸屏、无边框安装、导轨式输出。</w:t>
            </w:r>
          </w:p>
          <w:p>
            <w:pPr>
              <w:spacing w:line="360" w:lineRule="auto"/>
              <w:rPr>
                <w:color w:val="auto"/>
                <w:highlight w:val="none"/>
              </w:rPr>
            </w:pPr>
            <w:r>
              <w:rPr>
                <w:rFonts w:hint="eastAsia"/>
                <w:color w:val="auto"/>
                <w:highlight w:val="none"/>
              </w:rPr>
              <w:t>标准网络接口、RS485 通讯接口。</w:t>
            </w:r>
          </w:p>
          <w:p>
            <w:pPr>
              <w:pStyle w:val="3"/>
              <w:rPr>
                <w:color w:val="auto"/>
                <w:highlight w:val="none"/>
              </w:rPr>
            </w:pPr>
            <w:r>
              <w:rPr>
                <w:rFonts w:hint="eastAsia"/>
                <w:color w:val="auto"/>
                <w:highlight w:val="none"/>
              </w:rPr>
              <w:t>显示屏尺寸≥29寸及分辨率≥</w:t>
            </w:r>
            <w:r>
              <w:rPr>
                <w:rFonts w:hint="eastAsia" w:ascii="宋体" w:hAnsi="宋体" w:cs="宋体"/>
                <w:color w:val="auto"/>
                <w:highlight w:val="none"/>
              </w:rPr>
              <w:t>1920*1080</w:t>
            </w:r>
          </w:p>
        </w:tc>
        <w:tc>
          <w:tcPr>
            <w:tcW w:w="1888" w:type="dxa"/>
            <w:vAlign w:val="center"/>
          </w:tcPr>
          <w:p>
            <w:pPr>
              <w:spacing w:line="360" w:lineRule="auto"/>
              <w:rPr>
                <w:rFonts w:ascii="宋体" w:hAnsi="宋体" w:cs="宋体"/>
                <w:color w:val="auto"/>
                <w:szCs w:val="21"/>
                <w:highlight w:val="none"/>
              </w:rPr>
            </w:pPr>
            <w:r>
              <w:rPr>
                <w:rFonts w:hint="eastAsia" w:ascii="宋体" w:hAnsi="宋体" w:cs="宋体"/>
                <w:color w:val="auto"/>
                <w:szCs w:val="21"/>
                <w:highlight w:val="none"/>
              </w:rPr>
              <w:t>手术室多功能液晶显示触膜屏</w:t>
            </w:r>
          </w:p>
        </w:tc>
        <w:tc>
          <w:tcPr>
            <w:tcW w:w="1010" w:type="dxa"/>
            <w:vAlign w:val="center"/>
          </w:tcPr>
          <w:p>
            <w:pPr>
              <w:spacing w:line="360" w:lineRule="auto"/>
              <w:rPr>
                <w:rFonts w:ascii="宋体" w:hAnsi="宋体" w:cs="宋体"/>
                <w:color w:val="auto"/>
                <w:szCs w:val="21"/>
                <w:highlight w:val="none"/>
              </w:rPr>
            </w:pPr>
            <w:r>
              <w:rPr>
                <w:rFonts w:hint="eastAsia" w:ascii="宋体" w:hAnsi="宋体" w:cs="宋体"/>
                <w:color w:val="auto"/>
                <w:szCs w:val="21"/>
                <w:highlight w:val="none"/>
              </w:rPr>
              <w:t>1 套/间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9" w:hRule="atLeast"/>
        </w:trPr>
        <w:tc>
          <w:tcPr>
            <w:tcW w:w="6121" w:type="dxa"/>
            <w:vAlign w:val="center"/>
          </w:tcPr>
          <w:p>
            <w:pPr>
              <w:spacing w:line="360" w:lineRule="auto"/>
              <w:rPr>
                <w:rFonts w:ascii="宋体" w:hAnsi="宋体" w:cs="宋体"/>
                <w:color w:val="auto"/>
                <w:szCs w:val="21"/>
                <w:highlight w:val="none"/>
              </w:rPr>
            </w:pPr>
            <w:r>
              <w:rPr>
                <w:rFonts w:hint="eastAsia" w:ascii="宋体" w:hAnsi="宋体" w:cs="宋体"/>
                <w:color w:val="auto"/>
                <w:szCs w:val="21"/>
                <w:highlight w:val="none"/>
              </w:rPr>
              <w:t>整体喷涂，上部吊柜为玻璃开门，地柜为不锈钢平开门。</w:t>
            </w:r>
          </w:p>
        </w:tc>
        <w:tc>
          <w:tcPr>
            <w:tcW w:w="1888" w:type="dxa"/>
            <w:vAlign w:val="center"/>
          </w:tcPr>
          <w:p>
            <w:pPr>
              <w:spacing w:line="360" w:lineRule="auto"/>
              <w:rPr>
                <w:rFonts w:ascii="宋体" w:hAnsi="宋体" w:cs="宋体"/>
                <w:color w:val="auto"/>
                <w:szCs w:val="21"/>
                <w:highlight w:val="none"/>
              </w:rPr>
            </w:pPr>
            <w:r>
              <w:rPr>
                <w:rFonts w:hint="eastAsia" w:ascii="宋体" w:hAnsi="宋体" w:cs="宋体"/>
                <w:color w:val="auto"/>
                <w:szCs w:val="21"/>
                <w:highlight w:val="none"/>
              </w:rPr>
              <w:t>内嵌式组合柜</w:t>
            </w:r>
          </w:p>
        </w:tc>
        <w:tc>
          <w:tcPr>
            <w:tcW w:w="1010" w:type="dxa"/>
            <w:vAlign w:val="center"/>
          </w:tcPr>
          <w:p>
            <w:pPr>
              <w:spacing w:line="360" w:lineRule="auto"/>
              <w:rPr>
                <w:rFonts w:ascii="宋体" w:hAnsi="宋体" w:cs="宋体"/>
                <w:color w:val="auto"/>
                <w:szCs w:val="21"/>
                <w:highlight w:val="none"/>
              </w:rPr>
            </w:pPr>
            <w:r>
              <w:rPr>
                <w:rFonts w:hint="eastAsia" w:ascii="宋体" w:hAnsi="宋体" w:cs="宋体"/>
                <w:color w:val="auto"/>
                <w:szCs w:val="21"/>
                <w:highlight w:val="none"/>
              </w:rPr>
              <w:t>1组/间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trPr>
        <w:tc>
          <w:tcPr>
            <w:tcW w:w="6121" w:type="dxa"/>
            <w:vAlign w:val="center"/>
          </w:tcPr>
          <w:p>
            <w:pPr>
              <w:spacing w:line="360" w:lineRule="auto"/>
              <w:rPr>
                <w:rFonts w:ascii="宋体" w:hAnsi="宋体" w:cs="宋体"/>
                <w:color w:val="auto"/>
                <w:szCs w:val="21"/>
                <w:highlight w:val="none"/>
              </w:rPr>
            </w:pPr>
            <w:r>
              <w:rPr>
                <w:rFonts w:hint="eastAsia" w:ascii="宋体" w:hAnsi="宋体" w:cs="宋体"/>
                <w:color w:val="auto"/>
                <w:szCs w:val="21"/>
                <w:highlight w:val="none"/>
              </w:rPr>
              <w:t>仅DSA手术室配置，其余手术室不配置。</w:t>
            </w:r>
          </w:p>
        </w:tc>
        <w:tc>
          <w:tcPr>
            <w:tcW w:w="1888" w:type="dxa"/>
            <w:vAlign w:val="center"/>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导管柜 </w:t>
            </w:r>
          </w:p>
        </w:tc>
        <w:tc>
          <w:tcPr>
            <w:tcW w:w="1010" w:type="dxa"/>
            <w:vAlign w:val="center"/>
          </w:tcPr>
          <w:p>
            <w:pPr>
              <w:spacing w:line="360" w:lineRule="auto"/>
              <w:rPr>
                <w:rFonts w:ascii="宋体" w:hAnsi="宋体" w:cs="宋体"/>
                <w:color w:val="auto"/>
                <w:szCs w:val="21"/>
                <w:highlight w:val="none"/>
              </w:rPr>
            </w:pPr>
            <w:r>
              <w:rPr>
                <w:rFonts w:hint="eastAsia" w:ascii="宋体" w:hAnsi="宋体" w:cs="宋体"/>
                <w:color w:val="auto"/>
                <w:szCs w:val="21"/>
                <w:highlight w:val="none"/>
              </w:rPr>
              <w:t>1 套/间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trPr>
        <w:tc>
          <w:tcPr>
            <w:tcW w:w="6121" w:type="dxa"/>
            <w:vAlign w:val="center"/>
          </w:tcPr>
          <w:p>
            <w:pPr>
              <w:spacing w:line="360" w:lineRule="auto"/>
              <w:rPr>
                <w:rFonts w:ascii="宋体" w:hAnsi="宋体" w:cs="宋体"/>
                <w:color w:val="auto"/>
                <w:szCs w:val="21"/>
                <w:highlight w:val="none"/>
              </w:rPr>
            </w:pPr>
          </w:p>
        </w:tc>
        <w:tc>
          <w:tcPr>
            <w:tcW w:w="1888" w:type="dxa"/>
            <w:vAlign w:val="center"/>
          </w:tcPr>
          <w:p>
            <w:pPr>
              <w:spacing w:line="360" w:lineRule="auto"/>
              <w:rPr>
                <w:rFonts w:ascii="宋体" w:hAnsi="宋体" w:cs="宋体"/>
                <w:color w:val="auto"/>
                <w:szCs w:val="21"/>
                <w:highlight w:val="none"/>
              </w:rPr>
            </w:pPr>
            <w:r>
              <w:rPr>
                <w:rFonts w:hint="eastAsia" w:ascii="宋体" w:hAnsi="宋体" w:cs="宋体"/>
                <w:color w:val="auto"/>
                <w:szCs w:val="21"/>
                <w:highlight w:val="none"/>
              </w:rPr>
              <w:t>电脑柜</w:t>
            </w:r>
          </w:p>
        </w:tc>
        <w:tc>
          <w:tcPr>
            <w:tcW w:w="1010" w:type="dxa"/>
            <w:vAlign w:val="center"/>
          </w:tcPr>
          <w:p>
            <w:pPr>
              <w:spacing w:line="360" w:lineRule="auto"/>
              <w:rPr>
                <w:rFonts w:ascii="宋体" w:hAnsi="宋体" w:cs="宋体"/>
                <w:color w:val="auto"/>
                <w:szCs w:val="21"/>
                <w:highlight w:val="none"/>
              </w:rPr>
            </w:pPr>
            <w:r>
              <w:rPr>
                <w:rFonts w:hint="eastAsia" w:ascii="宋体" w:hAnsi="宋体" w:cs="宋体"/>
                <w:color w:val="auto"/>
                <w:szCs w:val="21"/>
                <w:highlight w:val="none"/>
              </w:rPr>
              <w:t>1 套/间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atLeast"/>
        </w:trPr>
        <w:tc>
          <w:tcPr>
            <w:tcW w:w="6121" w:type="dxa"/>
            <w:vAlign w:val="center"/>
          </w:tcPr>
          <w:p>
            <w:pPr>
              <w:spacing w:line="360" w:lineRule="auto"/>
              <w:rPr>
                <w:rFonts w:ascii="宋体" w:hAnsi="宋体" w:cs="宋体"/>
                <w:color w:val="auto"/>
                <w:szCs w:val="21"/>
                <w:highlight w:val="none"/>
              </w:rPr>
            </w:pPr>
          </w:p>
        </w:tc>
        <w:tc>
          <w:tcPr>
            <w:tcW w:w="1888" w:type="dxa"/>
            <w:vAlign w:val="center"/>
          </w:tcPr>
          <w:p>
            <w:pPr>
              <w:spacing w:line="360" w:lineRule="auto"/>
              <w:rPr>
                <w:rFonts w:ascii="宋体" w:hAnsi="宋体" w:cs="宋体"/>
                <w:color w:val="auto"/>
                <w:szCs w:val="21"/>
                <w:highlight w:val="none"/>
              </w:rPr>
            </w:pPr>
            <w:r>
              <w:rPr>
                <w:rFonts w:hint="eastAsia" w:ascii="宋体" w:hAnsi="宋体" w:cs="宋体"/>
                <w:color w:val="auto"/>
                <w:szCs w:val="21"/>
                <w:highlight w:val="none"/>
              </w:rPr>
              <w:t>电子观片灯</w:t>
            </w:r>
          </w:p>
        </w:tc>
        <w:tc>
          <w:tcPr>
            <w:tcW w:w="1010" w:type="dxa"/>
            <w:vAlign w:val="center"/>
          </w:tcPr>
          <w:p>
            <w:pPr>
              <w:spacing w:line="360" w:lineRule="auto"/>
              <w:rPr>
                <w:rFonts w:ascii="宋体" w:hAnsi="宋体" w:cs="宋体"/>
                <w:color w:val="auto"/>
                <w:szCs w:val="21"/>
                <w:highlight w:val="none"/>
              </w:rPr>
            </w:pPr>
            <w:r>
              <w:rPr>
                <w:rFonts w:hint="eastAsia" w:ascii="宋体" w:hAnsi="宋体" w:cs="宋体"/>
                <w:color w:val="auto"/>
                <w:szCs w:val="21"/>
                <w:highlight w:val="none"/>
              </w:rPr>
              <w:t>1 套/间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atLeast"/>
        </w:trPr>
        <w:tc>
          <w:tcPr>
            <w:tcW w:w="6121" w:type="dxa"/>
            <w:vAlign w:val="center"/>
          </w:tcPr>
          <w:p>
            <w:pPr>
              <w:spacing w:line="360" w:lineRule="auto"/>
              <w:rPr>
                <w:rFonts w:ascii="宋体" w:hAnsi="宋体" w:cs="宋体"/>
                <w:color w:val="auto"/>
                <w:szCs w:val="21"/>
                <w:highlight w:val="none"/>
              </w:rPr>
            </w:pPr>
            <w:r>
              <w:rPr>
                <w:rFonts w:hint="eastAsia" w:ascii="宋体" w:hAnsi="宋体" w:cs="宋体"/>
                <w:color w:val="auto"/>
                <w:szCs w:val="21"/>
                <w:highlight w:val="none"/>
              </w:rPr>
              <w:t>详见图纸。</w:t>
            </w:r>
          </w:p>
        </w:tc>
        <w:tc>
          <w:tcPr>
            <w:tcW w:w="1888" w:type="dxa"/>
            <w:vAlign w:val="center"/>
          </w:tcPr>
          <w:p>
            <w:pPr>
              <w:spacing w:line="360" w:lineRule="auto"/>
              <w:rPr>
                <w:rFonts w:ascii="宋体" w:hAnsi="宋体" w:cs="宋体"/>
                <w:color w:val="auto"/>
                <w:szCs w:val="21"/>
                <w:highlight w:val="none"/>
              </w:rPr>
            </w:pPr>
            <w:r>
              <w:rPr>
                <w:rFonts w:hint="eastAsia" w:ascii="宋体" w:hAnsi="宋体" w:cs="宋体"/>
                <w:color w:val="auto"/>
                <w:szCs w:val="21"/>
                <w:highlight w:val="none"/>
              </w:rPr>
              <w:t>保温柜</w:t>
            </w:r>
          </w:p>
        </w:tc>
        <w:tc>
          <w:tcPr>
            <w:tcW w:w="1010" w:type="dxa"/>
            <w:vAlign w:val="center"/>
          </w:tcPr>
          <w:p>
            <w:pPr>
              <w:spacing w:line="360" w:lineRule="auto"/>
              <w:rPr>
                <w:rFonts w:ascii="宋体" w:hAnsi="宋体" w:cs="宋体"/>
                <w:color w:val="auto"/>
                <w:szCs w:val="21"/>
                <w:highlight w:val="none"/>
              </w:rPr>
            </w:pPr>
            <w:r>
              <w:rPr>
                <w:rFonts w:hint="eastAsia" w:ascii="宋体" w:hAnsi="宋体" w:cs="宋体"/>
                <w:color w:val="auto"/>
                <w:szCs w:val="21"/>
                <w:highlight w:val="none"/>
              </w:rPr>
              <w:t>共15套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trPr>
        <w:tc>
          <w:tcPr>
            <w:tcW w:w="6121" w:type="dxa"/>
            <w:vAlign w:val="center"/>
          </w:tcPr>
          <w:p>
            <w:pPr>
              <w:spacing w:line="360" w:lineRule="auto"/>
              <w:rPr>
                <w:rFonts w:ascii="宋体" w:hAnsi="宋体" w:cs="宋体"/>
                <w:color w:val="auto"/>
                <w:szCs w:val="21"/>
                <w:highlight w:val="none"/>
              </w:rPr>
            </w:pPr>
            <w:r>
              <w:rPr>
                <w:rFonts w:hint="eastAsia" w:ascii="宋体" w:hAnsi="宋体" w:cs="宋体"/>
                <w:color w:val="auto"/>
                <w:szCs w:val="21"/>
                <w:highlight w:val="none"/>
              </w:rPr>
              <w:t>详见图纸。</w:t>
            </w:r>
          </w:p>
        </w:tc>
        <w:tc>
          <w:tcPr>
            <w:tcW w:w="1888" w:type="dxa"/>
            <w:vAlign w:val="center"/>
          </w:tcPr>
          <w:p>
            <w:pPr>
              <w:spacing w:line="360" w:lineRule="auto"/>
              <w:rPr>
                <w:rFonts w:ascii="宋体" w:hAnsi="宋体" w:cs="宋体"/>
                <w:color w:val="auto"/>
                <w:szCs w:val="21"/>
                <w:highlight w:val="none"/>
              </w:rPr>
            </w:pPr>
            <w:r>
              <w:rPr>
                <w:rFonts w:hint="eastAsia" w:ascii="宋体" w:hAnsi="宋体" w:cs="宋体"/>
                <w:color w:val="auto"/>
                <w:szCs w:val="21"/>
                <w:highlight w:val="none"/>
              </w:rPr>
              <w:t>保冷柜</w:t>
            </w:r>
          </w:p>
        </w:tc>
        <w:tc>
          <w:tcPr>
            <w:tcW w:w="1010" w:type="dxa"/>
            <w:vAlign w:val="center"/>
          </w:tcPr>
          <w:p>
            <w:pPr>
              <w:spacing w:line="360" w:lineRule="auto"/>
              <w:rPr>
                <w:rFonts w:ascii="宋体" w:hAnsi="宋体" w:cs="宋体"/>
                <w:color w:val="auto"/>
                <w:szCs w:val="21"/>
                <w:highlight w:val="none"/>
              </w:rPr>
            </w:pPr>
            <w:r>
              <w:rPr>
                <w:rFonts w:hint="eastAsia" w:ascii="宋体" w:hAnsi="宋体" w:cs="宋体"/>
                <w:color w:val="auto"/>
                <w:szCs w:val="21"/>
                <w:highlight w:val="none"/>
              </w:rPr>
              <w:t>共15套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trPr>
        <w:tc>
          <w:tcPr>
            <w:tcW w:w="6121" w:type="dxa"/>
            <w:vAlign w:val="center"/>
          </w:tcPr>
          <w:p>
            <w:pPr>
              <w:spacing w:line="360" w:lineRule="auto"/>
              <w:rPr>
                <w:rFonts w:ascii="宋体" w:hAnsi="宋体" w:cs="宋体"/>
                <w:color w:val="auto"/>
                <w:szCs w:val="21"/>
                <w:highlight w:val="none"/>
              </w:rPr>
            </w:pPr>
          </w:p>
        </w:tc>
        <w:tc>
          <w:tcPr>
            <w:tcW w:w="1888" w:type="dxa"/>
            <w:vAlign w:val="center"/>
          </w:tcPr>
          <w:p>
            <w:pPr>
              <w:spacing w:line="360" w:lineRule="auto"/>
              <w:rPr>
                <w:rFonts w:ascii="宋体" w:hAnsi="宋体" w:cs="宋体"/>
                <w:color w:val="auto"/>
                <w:szCs w:val="21"/>
                <w:highlight w:val="none"/>
              </w:rPr>
            </w:pPr>
            <w:r>
              <w:rPr>
                <w:rFonts w:hint="eastAsia" w:ascii="宋体" w:hAnsi="宋体" w:cs="宋体"/>
                <w:color w:val="auto"/>
                <w:szCs w:val="21"/>
                <w:highlight w:val="none"/>
              </w:rPr>
              <w:t>输液导轨</w:t>
            </w:r>
          </w:p>
        </w:tc>
        <w:tc>
          <w:tcPr>
            <w:tcW w:w="1010" w:type="dxa"/>
            <w:vAlign w:val="center"/>
          </w:tcPr>
          <w:p>
            <w:pPr>
              <w:spacing w:line="360" w:lineRule="auto"/>
              <w:rPr>
                <w:rFonts w:ascii="宋体" w:hAnsi="宋体" w:cs="宋体"/>
                <w:color w:val="auto"/>
                <w:szCs w:val="21"/>
                <w:highlight w:val="none"/>
              </w:rPr>
            </w:pPr>
            <w:r>
              <w:rPr>
                <w:rFonts w:hint="eastAsia" w:ascii="宋体" w:hAnsi="宋体" w:cs="宋体"/>
                <w:color w:val="auto"/>
                <w:szCs w:val="21"/>
                <w:highlight w:val="none"/>
              </w:rPr>
              <w:t>1套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32" w:hRule="atLeast"/>
        </w:trPr>
        <w:tc>
          <w:tcPr>
            <w:tcW w:w="6121" w:type="dxa"/>
            <w:vAlign w:val="center"/>
          </w:tcPr>
          <w:p>
            <w:pPr>
              <w:spacing w:line="360" w:lineRule="auto"/>
              <w:rPr>
                <w:rFonts w:ascii="宋体" w:hAnsi="宋体" w:cs="宋体"/>
                <w:color w:val="auto"/>
                <w:szCs w:val="21"/>
                <w:highlight w:val="none"/>
              </w:rPr>
            </w:pPr>
            <w:r>
              <w:rPr>
                <w:rFonts w:hint="eastAsia" w:ascii="宋体" w:hAnsi="宋体" w:cs="宋体"/>
                <w:color w:val="auto"/>
                <w:szCs w:val="21"/>
                <w:highlight w:val="none"/>
              </w:rPr>
              <w:t>其中3组为4个220V10A+1个6类网络插孔+2个接地端子；1组为3个220V10A+1个380V16A+1个6类网络插孔+2个接地端子，每组带底盒及面盖，每间手术室配置铜质地面插座1个。</w:t>
            </w:r>
          </w:p>
        </w:tc>
        <w:tc>
          <w:tcPr>
            <w:tcW w:w="1888" w:type="dxa"/>
            <w:vAlign w:val="center"/>
          </w:tcPr>
          <w:p>
            <w:pPr>
              <w:spacing w:line="360" w:lineRule="auto"/>
              <w:rPr>
                <w:rFonts w:ascii="宋体" w:hAnsi="宋体" w:cs="宋体"/>
                <w:color w:val="auto"/>
                <w:szCs w:val="21"/>
                <w:highlight w:val="none"/>
              </w:rPr>
            </w:pPr>
            <w:r>
              <w:rPr>
                <w:rFonts w:hint="eastAsia" w:ascii="宋体" w:hAnsi="宋体" w:cs="宋体"/>
                <w:color w:val="auto"/>
                <w:szCs w:val="21"/>
                <w:highlight w:val="none"/>
              </w:rPr>
              <w:t>组合电源插座箱</w:t>
            </w:r>
          </w:p>
        </w:tc>
        <w:tc>
          <w:tcPr>
            <w:tcW w:w="1010" w:type="dxa"/>
            <w:vAlign w:val="center"/>
          </w:tcPr>
          <w:p>
            <w:pPr>
              <w:spacing w:line="360" w:lineRule="auto"/>
              <w:rPr>
                <w:rFonts w:ascii="宋体" w:hAnsi="宋体" w:cs="宋体"/>
                <w:color w:val="auto"/>
                <w:szCs w:val="21"/>
                <w:highlight w:val="none"/>
              </w:rPr>
            </w:pPr>
            <w:r>
              <w:rPr>
                <w:rFonts w:hint="eastAsia" w:ascii="宋体" w:hAnsi="宋体" w:cs="宋体"/>
                <w:color w:val="auto"/>
                <w:szCs w:val="21"/>
                <w:highlight w:val="none"/>
              </w:rPr>
              <w:t>4组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atLeast"/>
        </w:trPr>
        <w:tc>
          <w:tcPr>
            <w:tcW w:w="6121" w:type="dxa"/>
            <w:vAlign w:val="center"/>
          </w:tcPr>
          <w:p>
            <w:pPr>
              <w:spacing w:line="360" w:lineRule="auto"/>
              <w:rPr>
                <w:rFonts w:ascii="宋体" w:hAnsi="宋体" w:cs="宋体"/>
                <w:color w:val="auto"/>
                <w:szCs w:val="21"/>
                <w:highlight w:val="none"/>
              </w:rPr>
            </w:pPr>
            <w:r>
              <w:rPr>
                <w:rFonts w:hint="eastAsia" w:ascii="宋体" w:hAnsi="宋体" w:cs="宋体"/>
                <w:color w:val="auto"/>
                <w:szCs w:val="21"/>
                <w:highlight w:val="none"/>
              </w:rPr>
              <w:t>不锈钢材料。</w:t>
            </w:r>
          </w:p>
        </w:tc>
        <w:tc>
          <w:tcPr>
            <w:tcW w:w="1888" w:type="dxa"/>
            <w:vAlign w:val="center"/>
          </w:tcPr>
          <w:p>
            <w:pPr>
              <w:spacing w:line="360" w:lineRule="auto"/>
              <w:rPr>
                <w:rFonts w:ascii="宋体" w:hAnsi="宋体" w:cs="宋体"/>
                <w:color w:val="auto"/>
                <w:szCs w:val="21"/>
                <w:highlight w:val="none"/>
              </w:rPr>
            </w:pPr>
            <w:r>
              <w:rPr>
                <w:rFonts w:hint="eastAsia" w:ascii="宋体" w:hAnsi="宋体" w:cs="宋体"/>
                <w:color w:val="auto"/>
                <w:szCs w:val="21"/>
                <w:highlight w:val="none"/>
              </w:rPr>
              <w:t>气体面盘箱</w:t>
            </w:r>
          </w:p>
        </w:tc>
        <w:tc>
          <w:tcPr>
            <w:tcW w:w="1010" w:type="dxa"/>
            <w:vAlign w:val="center"/>
          </w:tcPr>
          <w:p>
            <w:pPr>
              <w:spacing w:line="360" w:lineRule="auto"/>
              <w:rPr>
                <w:rFonts w:ascii="宋体" w:hAnsi="宋体" w:cs="宋体"/>
                <w:color w:val="auto"/>
                <w:szCs w:val="21"/>
                <w:highlight w:val="none"/>
              </w:rPr>
            </w:pPr>
            <w:r>
              <w:rPr>
                <w:rFonts w:hint="eastAsia" w:ascii="宋体" w:hAnsi="宋体" w:cs="宋体"/>
                <w:color w:val="auto"/>
                <w:szCs w:val="21"/>
                <w:highlight w:val="none"/>
              </w:rPr>
              <w:t>1套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trPr>
        <w:tc>
          <w:tcPr>
            <w:tcW w:w="6121" w:type="dxa"/>
            <w:vAlign w:val="center"/>
          </w:tcPr>
          <w:p>
            <w:pPr>
              <w:spacing w:line="360" w:lineRule="auto"/>
              <w:rPr>
                <w:rFonts w:ascii="宋体" w:hAnsi="宋体" w:cs="宋体"/>
                <w:color w:val="auto"/>
                <w:szCs w:val="21"/>
                <w:highlight w:val="none"/>
              </w:rPr>
            </w:pPr>
            <w:r>
              <w:rPr>
                <w:rFonts w:hint="eastAsia" w:ascii="宋体" w:hAnsi="宋体" w:cs="宋体"/>
                <w:color w:val="auto"/>
                <w:szCs w:val="21"/>
                <w:highlight w:val="none"/>
              </w:rPr>
              <w:t>每间手术室设置1套。（配套后期无影灯中标单位产品）</w:t>
            </w:r>
          </w:p>
        </w:tc>
        <w:tc>
          <w:tcPr>
            <w:tcW w:w="1888" w:type="dxa"/>
            <w:vAlign w:val="center"/>
          </w:tcPr>
          <w:p>
            <w:pPr>
              <w:spacing w:line="360" w:lineRule="auto"/>
              <w:rPr>
                <w:rFonts w:ascii="宋体" w:hAnsi="宋体" w:cs="宋体"/>
                <w:color w:val="auto"/>
                <w:szCs w:val="21"/>
                <w:highlight w:val="none"/>
              </w:rPr>
            </w:pPr>
            <w:r>
              <w:rPr>
                <w:rFonts w:hint="eastAsia" w:ascii="宋体" w:hAnsi="宋体" w:cs="宋体"/>
                <w:color w:val="auto"/>
                <w:szCs w:val="21"/>
                <w:highlight w:val="none"/>
              </w:rPr>
              <w:t>无影灯底座、锚栓</w:t>
            </w:r>
          </w:p>
        </w:tc>
        <w:tc>
          <w:tcPr>
            <w:tcW w:w="1010" w:type="dxa"/>
            <w:vAlign w:val="center"/>
          </w:tcPr>
          <w:p>
            <w:pPr>
              <w:spacing w:line="360" w:lineRule="auto"/>
              <w:rPr>
                <w:rFonts w:ascii="宋体" w:hAnsi="宋体" w:cs="宋体"/>
                <w:color w:val="auto"/>
                <w:szCs w:val="21"/>
                <w:highlight w:val="none"/>
              </w:rPr>
            </w:pPr>
            <w:r>
              <w:rPr>
                <w:rFonts w:hint="eastAsia" w:ascii="宋体" w:hAnsi="宋体" w:cs="宋体"/>
                <w:color w:val="auto"/>
                <w:szCs w:val="21"/>
                <w:highlight w:val="none"/>
              </w:rPr>
              <w:t>1套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trPr>
        <w:tc>
          <w:tcPr>
            <w:tcW w:w="6121" w:type="dxa"/>
            <w:vAlign w:val="center"/>
          </w:tcPr>
          <w:p>
            <w:pPr>
              <w:spacing w:line="360" w:lineRule="auto"/>
              <w:rPr>
                <w:rFonts w:ascii="宋体" w:hAnsi="宋体" w:cs="宋体"/>
                <w:color w:val="auto"/>
                <w:szCs w:val="21"/>
                <w:highlight w:val="none"/>
              </w:rPr>
            </w:pPr>
            <w:r>
              <w:rPr>
                <w:rFonts w:hint="eastAsia" w:ascii="宋体" w:hAnsi="宋体" w:cs="宋体"/>
                <w:color w:val="auto"/>
                <w:szCs w:val="21"/>
                <w:highlight w:val="none"/>
              </w:rPr>
              <w:t>吊塔底座数量及位置根据设备采购中标厂家深化图纸安装。（配套后期无影灯中标单位产品）</w:t>
            </w:r>
          </w:p>
        </w:tc>
        <w:tc>
          <w:tcPr>
            <w:tcW w:w="1888" w:type="dxa"/>
            <w:vAlign w:val="center"/>
          </w:tcPr>
          <w:p>
            <w:pPr>
              <w:spacing w:line="360" w:lineRule="auto"/>
              <w:rPr>
                <w:rFonts w:ascii="宋体" w:hAnsi="宋体" w:cs="宋体"/>
                <w:color w:val="auto"/>
                <w:szCs w:val="21"/>
                <w:highlight w:val="none"/>
              </w:rPr>
            </w:pPr>
            <w:r>
              <w:rPr>
                <w:rFonts w:hint="eastAsia" w:ascii="宋体" w:hAnsi="宋体" w:cs="宋体"/>
                <w:color w:val="auto"/>
                <w:szCs w:val="21"/>
                <w:highlight w:val="none"/>
              </w:rPr>
              <w:t>吊塔底座、锚栓</w:t>
            </w:r>
          </w:p>
        </w:tc>
        <w:tc>
          <w:tcPr>
            <w:tcW w:w="1010" w:type="dxa"/>
            <w:vAlign w:val="center"/>
          </w:tcPr>
          <w:p>
            <w:pPr>
              <w:spacing w:line="360" w:lineRule="auto"/>
              <w:rPr>
                <w:rFonts w:ascii="宋体" w:hAnsi="宋体" w:cs="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trPr>
        <w:tc>
          <w:tcPr>
            <w:tcW w:w="6121" w:type="dxa"/>
            <w:vAlign w:val="center"/>
          </w:tcPr>
          <w:p>
            <w:pPr>
              <w:spacing w:line="360" w:lineRule="auto"/>
              <w:rPr>
                <w:rFonts w:ascii="宋体" w:hAnsi="宋体" w:cs="宋体"/>
                <w:color w:val="auto"/>
                <w:szCs w:val="21"/>
                <w:highlight w:val="none"/>
              </w:rPr>
            </w:pPr>
            <w:r>
              <w:rPr>
                <w:rFonts w:hint="eastAsia" w:ascii="宋体" w:hAnsi="宋体" w:cs="宋体"/>
                <w:color w:val="auto"/>
                <w:szCs w:val="21"/>
                <w:highlight w:val="none"/>
              </w:rPr>
              <w:t>设置在手术室前、后门口。</w:t>
            </w:r>
          </w:p>
        </w:tc>
        <w:tc>
          <w:tcPr>
            <w:tcW w:w="1888" w:type="dxa"/>
            <w:vAlign w:val="center"/>
          </w:tcPr>
          <w:p>
            <w:pPr>
              <w:spacing w:line="360" w:lineRule="auto"/>
              <w:rPr>
                <w:rFonts w:ascii="宋体" w:hAnsi="宋体" w:cs="宋体"/>
                <w:color w:val="auto"/>
                <w:szCs w:val="21"/>
                <w:highlight w:val="none"/>
              </w:rPr>
            </w:pPr>
            <w:r>
              <w:rPr>
                <w:rFonts w:hint="eastAsia" w:ascii="宋体" w:hAnsi="宋体" w:cs="宋体"/>
                <w:color w:val="auto"/>
                <w:szCs w:val="21"/>
                <w:highlight w:val="none"/>
              </w:rPr>
              <w:t>微压计</w:t>
            </w:r>
          </w:p>
        </w:tc>
        <w:tc>
          <w:tcPr>
            <w:tcW w:w="1010" w:type="dxa"/>
            <w:vAlign w:val="center"/>
          </w:tcPr>
          <w:p>
            <w:pPr>
              <w:spacing w:line="360" w:lineRule="auto"/>
              <w:rPr>
                <w:rFonts w:ascii="宋体" w:hAnsi="宋体" w:cs="宋体"/>
                <w:color w:val="auto"/>
                <w:szCs w:val="21"/>
                <w:highlight w:val="none"/>
              </w:rPr>
            </w:pPr>
            <w:r>
              <w:rPr>
                <w:rFonts w:hint="eastAsia" w:ascii="宋体" w:hAnsi="宋体" w:cs="宋体"/>
                <w:color w:val="auto"/>
                <w:szCs w:val="21"/>
                <w:highlight w:val="none"/>
              </w:rPr>
              <w:t>2套/间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7" w:hRule="atLeast"/>
        </w:trPr>
        <w:tc>
          <w:tcPr>
            <w:tcW w:w="6121" w:type="dxa"/>
            <w:vAlign w:val="center"/>
          </w:tcPr>
          <w:p>
            <w:pPr>
              <w:spacing w:line="360" w:lineRule="auto"/>
              <w:rPr>
                <w:rFonts w:ascii="宋体" w:hAnsi="宋体" w:cs="宋体"/>
                <w:color w:val="auto"/>
                <w:szCs w:val="21"/>
                <w:highlight w:val="none"/>
              </w:rPr>
            </w:pPr>
            <w:r>
              <w:rPr>
                <w:rFonts w:hint="eastAsia" w:ascii="宋体" w:hAnsi="宋体" w:cs="宋体"/>
                <w:color w:val="auto"/>
                <w:szCs w:val="21"/>
                <w:highlight w:val="none"/>
              </w:rPr>
              <w:t>可收放式，与中央控制面板整合到一起。</w:t>
            </w:r>
          </w:p>
        </w:tc>
        <w:tc>
          <w:tcPr>
            <w:tcW w:w="1888" w:type="dxa"/>
            <w:vAlign w:val="center"/>
          </w:tcPr>
          <w:p>
            <w:pPr>
              <w:spacing w:line="360" w:lineRule="auto"/>
              <w:rPr>
                <w:rFonts w:ascii="宋体" w:hAnsi="宋体" w:cs="宋体"/>
                <w:color w:val="auto"/>
                <w:szCs w:val="21"/>
                <w:highlight w:val="none"/>
              </w:rPr>
            </w:pPr>
            <w:r>
              <w:rPr>
                <w:rFonts w:hint="eastAsia" w:ascii="宋体" w:hAnsi="宋体" w:cs="宋体"/>
                <w:color w:val="auto"/>
                <w:szCs w:val="21"/>
                <w:highlight w:val="none"/>
              </w:rPr>
              <w:t>书写台</w:t>
            </w:r>
          </w:p>
        </w:tc>
        <w:tc>
          <w:tcPr>
            <w:tcW w:w="1010" w:type="dxa"/>
            <w:vAlign w:val="center"/>
          </w:tcPr>
          <w:p>
            <w:pPr>
              <w:spacing w:line="360" w:lineRule="auto"/>
              <w:rPr>
                <w:rFonts w:ascii="宋体" w:hAnsi="宋体" w:cs="宋体"/>
                <w:color w:val="auto"/>
                <w:szCs w:val="21"/>
                <w:highlight w:val="none"/>
              </w:rPr>
            </w:pPr>
            <w:r>
              <w:rPr>
                <w:rFonts w:hint="eastAsia" w:ascii="宋体" w:hAnsi="宋体" w:cs="宋体"/>
                <w:color w:val="auto"/>
                <w:szCs w:val="21"/>
                <w:highlight w:val="none"/>
              </w:rPr>
              <w:t>1套</w:t>
            </w:r>
          </w:p>
        </w:tc>
      </w:tr>
    </w:tbl>
    <w:p>
      <w:pPr>
        <w:numPr>
          <w:ilvl w:val="0"/>
          <w:numId w:val="18"/>
        </w:numPr>
        <w:spacing w:line="360" w:lineRule="auto"/>
        <w:rPr>
          <w:rFonts w:ascii="宋体" w:hAnsi="宋体" w:cs="宋体"/>
          <w:color w:val="auto"/>
          <w:szCs w:val="21"/>
          <w:highlight w:val="none"/>
        </w:rPr>
      </w:pPr>
      <w:r>
        <w:rPr>
          <w:rFonts w:hint="eastAsia" w:ascii="宋体" w:hAnsi="宋体" w:cs="宋体"/>
          <w:color w:val="auto"/>
          <w:szCs w:val="21"/>
          <w:highlight w:val="none"/>
        </w:rPr>
        <w:t>手术室自动门上方应设“手术中”显示灯。</w:t>
      </w:r>
    </w:p>
    <w:p>
      <w:pPr>
        <w:numPr>
          <w:ilvl w:val="0"/>
          <w:numId w:val="18"/>
        </w:numPr>
        <w:spacing w:line="360" w:lineRule="auto"/>
        <w:rPr>
          <w:rFonts w:ascii="宋体" w:hAnsi="宋体" w:cs="宋体"/>
          <w:color w:val="auto"/>
          <w:szCs w:val="21"/>
          <w:highlight w:val="none"/>
        </w:rPr>
      </w:pPr>
      <w:r>
        <w:rPr>
          <w:rFonts w:hint="eastAsia" w:ascii="宋体" w:hAnsi="宋体" w:cs="宋体"/>
          <w:color w:val="auto"/>
          <w:szCs w:val="21"/>
          <w:highlight w:val="none"/>
        </w:rPr>
        <w:t>嵌入墙内的设备，应与墙面齐平，缝隙涂胶。</w:t>
      </w:r>
    </w:p>
    <w:p>
      <w:pPr>
        <w:numPr>
          <w:ilvl w:val="0"/>
          <w:numId w:val="18"/>
        </w:numPr>
        <w:spacing w:line="360" w:lineRule="auto"/>
        <w:rPr>
          <w:rFonts w:ascii="宋体" w:hAnsi="宋体" w:cs="宋体"/>
          <w:color w:val="auto"/>
          <w:szCs w:val="21"/>
          <w:highlight w:val="none"/>
        </w:rPr>
      </w:pPr>
      <w:r>
        <w:rPr>
          <w:rFonts w:hint="eastAsia" w:ascii="宋体" w:hAnsi="宋体" w:cs="宋体"/>
          <w:color w:val="auto"/>
          <w:szCs w:val="21"/>
          <w:highlight w:val="none"/>
        </w:rPr>
        <w:t>电话通讯系统：方便各手术部之间及与护士站的联系，强化科室智能化管理。</w:t>
      </w:r>
    </w:p>
    <w:p>
      <w:pPr>
        <w:numPr>
          <w:ilvl w:val="0"/>
          <w:numId w:val="18"/>
        </w:numPr>
        <w:spacing w:line="360" w:lineRule="auto"/>
        <w:rPr>
          <w:rFonts w:ascii="宋体" w:hAnsi="宋体" w:cs="宋体"/>
          <w:color w:val="auto"/>
          <w:szCs w:val="21"/>
          <w:highlight w:val="none"/>
        </w:rPr>
      </w:pPr>
      <w:r>
        <w:rPr>
          <w:rFonts w:hint="eastAsia" w:ascii="宋体" w:hAnsi="宋体" w:cs="宋体"/>
          <w:color w:val="auto"/>
          <w:szCs w:val="21"/>
          <w:highlight w:val="none"/>
        </w:rPr>
        <w:t>嵌入式观片灯选配按上表，应设置在术者对面墙上。</w:t>
      </w:r>
    </w:p>
    <w:p>
      <w:pPr>
        <w:numPr>
          <w:ilvl w:val="0"/>
          <w:numId w:val="18"/>
        </w:numPr>
        <w:spacing w:line="360" w:lineRule="auto"/>
        <w:rPr>
          <w:rFonts w:ascii="宋体" w:hAnsi="宋体" w:cs="宋体"/>
          <w:color w:val="auto"/>
          <w:szCs w:val="21"/>
          <w:highlight w:val="none"/>
        </w:rPr>
      </w:pPr>
      <w:r>
        <w:rPr>
          <w:rFonts w:hint="eastAsia" w:ascii="宋体" w:hAnsi="宋体" w:cs="宋体"/>
          <w:color w:val="auto"/>
          <w:szCs w:val="21"/>
          <w:highlight w:val="none"/>
        </w:rPr>
        <w:t>药品柜、器械柜、麻醉柜应嵌入墙内方便的位置。</w:t>
      </w:r>
    </w:p>
    <w:p>
      <w:pPr>
        <w:numPr>
          <w:ilvl w:val="0"/>
          <w:numId w:val="18"/>
        </w:numPr>
        <w:spacing w:line="360" w:lineRule="auto"/>
        <w:rPr>
          <w:rFonts w:ascii="宋体" w:hAnsi="宋体" w:cs="宋体"/>
          <w:color w:val="auto"/>
          <w:szCs w:val="21"/>
          <w:highlight w:val="none"/>
        </w:rPr>
      </w:pPr>
      <w:r>
        <w:rPr>
          <w:rFonts w:hint="eastAsia" w:ascii="宋体" w:hAnsi="宋体" w:cs="宋体"/>
          <w:color w:val="auto"/>
          <w:szCs w:val="21"/>
          <w:highlight w:val="none"/>
        </w:rPr>
        <w:t>手术室内不允许设置单个插座，必须使用插座箱。</w:t>
      </w:r>
    </w:p>
    <w:p>
      <w:pPr>
        <w:pStyle w:val="9"/>
        <w:numPr>
          <w:ilvl w:val="0"/>
          <w:numId w:val="17"/>
        </w:numPr>
        <w:adjustRightInd w:val="0"/>
        <w:snapToGrid w:val="0"/>
        <w:spacing w:before="0" w:after="0" w:line="360" w:lineRule="auto"/>
        <w:rPr>
          <w:rFonts w:ascii="宋体" w:hAnsi="宋体" w:cs="宋体"/>
          <w:color w:val="auto"/>
          <w:sz w:val="21"/>
          <w:szCs w:val="21"/>
          <w:highlight w:val="none"/>
        </w:rPr>
      </w:pPr>
      <w:r>
        <w:rPr>
          <w:rFonts w:hint="eastAsia" w:ascii="宋体" w:hAnsi="宋体" w:cs="宋体"/>
          <w:color w:val="auto"/>
          <w:sz w:val="21"/>
          <w:szCs w:val="21"/>
          <w:highlight w:val="none"/>
        </w:rPr>
        <w:t>墙面：</w:t>
      </w:r>
    </w:p>
    <w:p>
      <w:pPr>
        <w:numPr>
          <w:ilvl w:val="0"/>
          <w:numId w:val="19"/>
        </w:numPr>
        <w:spacing w:line="360" w:lineRule="auto"/>
        <w:rPr>
          <w:rFonts w:ascii="宋体" w:hAnsi="宋体" w:cs="宋体"/>
          <w:color w:val="auto"/>
          <w:szCs w:val="21"/>
          <w:highlight w:val="none"/>
        </w:rPr>
      </w:pPr>
      <w:r>
        <w:rPr>
          <w:rFonts w:hint="eastAsia" w:ascii="宋体" w:hAnsi="宋体" w:cs="宋体"/>
          <w:color w:val="auto"/>
          <w:szCs w:val="21"/>
          <w:highlight w:val="none"/>
        </w:rPr>
        <w:t>手术室（包含DSA、隔离待产、产房手术室）墙体采用50*30*1.5镀锌方管龙骨+12mm厚防潮石膏板基层，面层选用1.2mm厚耐清洗、耐碰撞、阻燃、隔音、保温、防潮、防锈的优质电解钢板，板材全部在工厂预制烤漆成型，施工现场模块化安装，不允许采用现场切割、禁止现场喷涂。板缝采用防霉抗菌硅胶密封；手术室墙面与墙面、墙面与吊顶均采用圆弧（圆弧半径R≥300mm）过渡。</w:t>
      </w:r>
    </w:p>
    <w:p>
      <w:pPr>
        <w:numPr>
          <w:ilvl w:val="0"/>
          <w:numId w:val="19"/>
        </w:numPr>
        <w:spacing w:line="360" w:lineRule="auto"/>
        <w:rPr>
          <w:rFonts w:ascii="宋体" w:hAnsi="宋体" w:cs="宋体"/>
          <w:color w:val="auto"/>
          <w:szCs w:val="21"/>
          <w:highlight w:val="none"/>
        </w:rPr>
      </w:pPr>
      <w:r>
        <w:rPr>
          <w:rFonts w:hint="eastAsia" w:ascii="宋体" w:hAnsi="宋体" w:cs="宋体"/>
          <w:color w:val="auto"/>
          <w:szCs w:val="21"/>
          <w:highlight w:val="none"/>
        </w:rPr>
        <w:t>各科室洁净走廊及换床间、洁净辅房墙面采用轻钢龙骨固定，内衬12mm石膏板，面贴无机预涂板。</w:t>
      </w:r>
    </w:p>
    <w:p>
      <w:pPr>
        <w:numPr>
          <w:ilvl w:val="0"/>
          <w:numId w:val="19"/>
        </w:numPr>
        <w:spacing w:line="360" w:lineRule="auto"/>
        <w:rPr>
          <w:rFonts w:ascii="宋体" w:hAnsi="宋体" w:cs="宋体"/>
          <w:color w:val="auto"/>
          <w:szCs w:val="21"/>
          <w:highlight w:val="none"/>
        </w:rPr>
      </w:pPr>
      <w:r>
        <w:rPr>
          <w:rFonts w:hint="eastAsia" w:ascii="宋体" w:hAnsi="宋体" w:cs="宋体"/>
          <w:color w:val="auto"/>
          <w:szCs w:val="21"/>
          <w:highlight w:val="none"/>
        </w:rPr>
        <w:t>各科室办公区、污物走廊、污物辅房采用75轻钢龙骨，外贴12mm厚石膏板，再刷抗菌涂料。</w:t>
      </w:r>
    </w:p>
    <w:p>
      <w:pPr>
        <w:numPr>
          <w:ilvl w:val="0"/>
          <w:numId w:val="19"/>
        </w:numPr>
        <w:spacing w:line="360" w:lineRule="auto"/>
        <w:rPr>
          <w:rFonts w:ascii="宋体" w:hAnsi="宋体" w:cs="宋体"/>
          <w:color w:val="auto"/>
          <w:szCs w:val="21"/>
          <w:highlight w:val="none"/>
        </w:rPr>
      </w:pPr>
      <w:r>
        <w:rPr>
          <w:rFonts w:hint="eastAsia" w:ascii="宋体" w:hAnsi="宋体" w:cs="宋体"/>
          <w:color w:val="auto"/>
          <w:szCs w:val="21"/>
          <w:highlight w:val="none"/>
        </w:rPr>
        <w:t>各科室卫浴间、污洗间、洁具间等湿区墙面采用原有土建墙体（招标方砌筑）防水处理后面贴优质瓷砖至吊顶以上100mm高度。</w:t>
      </w:r>
    </w:p>
    <w:p>
      <w:pPr>
        <w:numPr>
          <w:ilvl w:val="0"/>
          <w:numId w:val="19"/>
        </w:numPr>
        <w:spacing w:line="360" w:lineRule="auto"/>
        <w:rPr>
          <w:rFonts w:ascii="宋体" w:hAnsi="宋体" w:cs="宋体"/>
          <w:color w:val="auto"/>
          <w:szCs w:val="21"/>
          <w:highlight w:val="none"/>
        </w:rPr>
      </w:pPr>
      <w:r>
        <w:rPr>
          <w:rFonts w:hint="eastAsia" w:ascii="宋体" w:hAnsi="宋体" w:cs="宋体"/>
          <w:color w:val="auto"/>
          <w:szCs w:val="21"/>
          <w:highlight w:val="none"/>
        </w:rPr>
        <w:t>各科室与公共区域交接处墙采用土建墙体（招标方砌筑），内侧墙面由中标方完成，面层材料要求与同一功能房其余墙面面层材料相同。</w:t>
      </w:r>
    </w:p>
    <w:p>
      <w:pPr>
        <w:numPr>
          <w:ilvl w:val="0"/>
          <w:numId w:val="19"/>
        </w:numPr>
        <w:spacing w:line="360" w:lineRule="auto"/>
        <w:rPr>
          <w:rFonts w:ascii="宋体" w:hAnsi="宋体" w:cs="宋体"/>
          <w:color w:val="auto"/>
          <w:szCs w:val="21"/>
          <w:highlight w:val="none"/>
        </w:rPr>
      </w:pPr>
      <w:r>
        <w:rPr>
          <w:rFonts w:hint="eastAsia" w:ascii="宋体" w:hAnsi="宋体" w:cs="宋体"/>
          <w:color w:val="auto"/>
          <w:szCs w:val="21"/>
          <w:highlight w:val="none"/>
        </w:rPr>
        <w:t>机房、UPS 间、汇流排间墙面采用在原土建墙体（招标方砌筑）基础上平整后批腻子刷优质乳胶漆的做法。</w:t>
      </w:r>
    </w:p>
    <w:p>
      <w:pPr>
        <w:pStyle w:val="9"/>
        <w:numPr>
          <w:ilvl w:val="0"/>
          <w:numId w:val="17"/>
        </w:numPr>
        <w:adjustRightInd w:val="0"/>
        <w:snapToGrid w:val="0"/>
        <w:spacing w:before="0" w:after="0" w:line="360" w:lineRule="auto"/>
        <w:rPr>
          <w:rFonts w:ascii="宋体" w:hAnsi="宋体" w:cs="宋体"/>
          <w:color w:val="auto"/>
          <w:sz w:val="21"/>
          <w:szCs w:val="21"/>
          <w:highlight w:val="none"/>
        </w:rPr>
      </w:pPr>
      <w:r>
        <w:rPr>
          <w:rFonts w:hint="eastAsia" w:ascii="宋体" w:hAnsi="宋体" w:cs="宋体"/>
          <w:color w:val="auto"/>
          <w:sz w:val="21"/>
          <w:szCs w:val="21"/>
          <w:highlight w:val="none"/>
        </w:rPr>
        <w:t>电解钢板技术参数:</w:t>
      </w:r>
    </w:p>
    <w:p>
      <w:pPr>
        <w:numPr>
          <w:ilvl w:val="0"/>
          <w:numId w:val="20"/>
        </w:numPr>
        <w:spacing w:line="360" w:lineRule="auto"/>
        <w:rPr>
          <w:rFonts w:ascii="宋体" w:hAnsi="宋体" w:cs="宋体"/>
          <w:bCs/>
          <w:color w:val="auto"/>
          <w:szCs w:val="21"/>
          <w:highlight w:val="none"/>
        </w:rPr>
      </w:pPr>
      <w:r>
        <w:rPr>
          <w:rFonts w:hint="eastAsia" w:ascii="宋体" w:hAnsi="宋体" w:cs="宋体"/>
          <w:bCs/>
          <w:color w:val="auto"/>
          <w:szCs w:val="21"/>
          <w:highlight w:val="none"/>
        </w:rPr>
        <w:t>净化电解钢板厚度为1.2mm,经工厂数控弯折成型并做静电喷涂，190度高温烘烤，表面涂层厚度不低于0.02mm，背面贴12mm厚纸面石膏板保温；施工现场模块化安装，板缝采用防霉抗菌硅胶密封。</w:t>
      </w:r>
    </w:p>
    <w:p>
      <w:pPr>
        <w:numPr>
          <w:ilvl w:val="0"/>
          <w:numId w:val="20"/>
        </w:numPr>
        <w:spacing w:line="360" w:lineRule="auto"/>
        <w:rPr>
          <w:rFonts w:ascii="宋体" w:hAnsi="宋体" w:cs="宋体"/>
          <w:bCs/>
          <w:color w:val="auto"/>
          <w:szCs w:val="21"/>
          <w:highlight w:val="none"/>
        </w:rPr>
      </w:pPr>
      <w:r>
        <w:rPr>
          <w:rFonts w:hint="eastAsia" w:ascii="宋体" w:hAnsi="宋体" w:cs="宋体"/>
          <w:color w:val="auto"/>
          <w:szCs w:val="21"/>
          <w:highlight w:val="none"/>
        </w:rPr>
        <w:t>▲</w:t>
      </w:r>
      <w:r>
        <w:rPr>
          <w:rFonts w:hint="eastAsia" w:ascii="宋体" w:hAnsi="宋体" w:cs="宋体"/>
          <w:bCs/>
          <w:color w:val="auto"/>
          <w:szCs w:val="21"/>
          <w:highlight w:val="none"/>
        </w:rPr>
        <w:t>成品净化电解钢板燃烧性能应符合GB 8624-2012不燃级A级要求；炉内温升、持续燃烧时间、质量损失率应符合GB/T 5464-2010的要求；钢板总热值、涂层总热值、整体制品总热值应符合GB/T 14402-2007的要求；合同签订前提供第三方检测机构出具的检验报告。</w:t>
      </w:r>
    </w:p>
    <w:p>
      <w:pPr>
        <w:pStyle w:val="9"/>
        <w:numPr>
          <w:ilvl w:val="0"/>
          <w:numId w:val="17"/>
        </w:numPr>
        <w:adjustRightInd w:val="0"/>
        <w:snapToGrid w:val="0"/>
        <w:spacing w:before="0" w:after="0" w:line="360" w:lineRule="auto"/>
        <w:rPr>
          <w:rFonts w:ascii="宋体" w:hAnsi="宋体" w:cs="宋体"/>
          <w:color w:val="auto"/>
          <w:sz w:val="21"/>
          <w:szCs w:val="21"/>
          <w:highlight w:val="none"/>
        </w:rPr>
      </w:pPr>
      <w:r>
        <w:rPr>
          <w:rFonts w:hint="eastAsia" w:ascii="宋体" w:hAnsi="宋体" w:cs="宋体"/>
          <w:color w:val="auto"/>
          <w:sz w:val="21"/>
          <w:szCs w:val="21"/>
          <w:highlight w:val="none"/>
        </w:rPr>
        <w:t>地面：</w:t>
      </w:r>
    </w:p>
    <w:p>
      <w:pPr>
        <w:numPr>
          <w:ilvl w:val="0"/>
          <w:numId w:val="21"/>
        </w:numPr>
        <w:spacing w:line="360" w:lineRule="auto"/>
        <w:rPr>
          <w:rFonts w:ascii="宋体" w:hAnsi="宋体" w:cs="宋体"/>
          <w:color w:val="auto"/>
          <w:szCs w:val="21"/>
          <w:highlight w:val="none"/>
        </w:rPr>
      </w:pPr>
      <w:r>
        <w:rPr>
          <w:rFonts w:hint="eastAsia" w:ascii="宋体" w:hAnsi="宋体" w:cs="宋体"/>
          <w:color w:val="auto"/>
          <w:szCs w:val="21"/>
          <w:highlight w:val="none"/>
        </w:rPr>
        <w:t>手术室(含DSA、隔离待产、产房手术室)地面材料均要求采用厚度为2mm。要求具有防静电、防滑、防潮、防火、防霉耐磨、耐腐蚀、易清洗同质透心的PVC卷材。</w:t>
      </w:r>
    </w:p>
    <w:p>
      <w:pPr>
        <w:numPr>
          <w:ilvl w:val="0"/>
          <w:numId w:val="21"/>
        </w:numPr>
        <w:spacing w:line="360" w:lineRule="auto"/>
        <w:rPr>
          <w:rFonts w:ascii="宋体" w:hAnsi="宋体" w:cs="宋体"/>
          <w:color w:val="auto"/>
          <w:szCs w:val="21"/>
          <w:highlight w:val="none"/>
        </w:rPr>
      </w:pPr>
      <w:r>
        <w:rPr>
          <w:rFonts w:hint="eastAsia" w:ascii="宋体" w:hAnsi="宋体" w:cs="宋体"/>
          <w:color w:val="auto"/>
          <w:szCs w:val="21"/>
          <w:highlight w:val="none"/>
        </w:rPr>
        <w:t>手术室洁净走廊、洁净辅房地面材料采用2.0mm厚，具有防静电、防滑、防潮、防火、防霉耐磨、耐腐蚀、易清洗同质透心的PVC卷材，3mm厚PVC专用地面配套水泥自流平基层。</w:t>
      </w:r>
    </w:p>
    <w:p>
      <w:pPr>
        <w:numPr>
          <w:ilvl w:val="0"/>
          <w:numId w:val="21"/>
        </w:numPr>
        <w:spacing w:line="360" w:lineRule="auto"/>
        <w:rPr>
          <w:rFonts w:ascii="宋体" w:hAnsi="宋体" w:cs="宋体"/>
          <w:color w:val="auto"/>
          <w:szCs w:val="21"/>
          <w:highlight w:val="none"/>
        </w:rPr>
      </w:pPr>
      <w:r>
        <w:rPr>
          <w:rFonts w:hint="eastAsia" w:ascii="宋体" w:hAnsi="宋体" w:cs="宋体"/>
          <w:color w:val="auto"/>
          <w:szCs w:val="21"/>
          <w:highlight w:val="none"/>
        </w:rPr>
        <w:t>招标范围内的各科室所有卫生间、淋浴间、污洗间、洁具间等湿区地面经2mm厚聚合物水泥基防水处理后，铺贴优质的防滑地砖，符合环保要求。</w:t>
      </w:r>
    </w:p>
    <w:p>
      <w:pPr>
        <w:numPr>
          <w:ilvl w:val="0"/>
          <w:numId w:val="21"/>
        </w:numPr>
        <w:spacing w:line="360" w:lineRule="auto"/>
        <w:rPr>
          <w:rFonts w:ascii="宋体" w:hAnsi="宋体" w:cs="宋体"/>
          <w:color w:val="auto"/>
          <w:szCs w:val="21"/>
          <w:highlight w:val="none"/>
        </w:rPr>
      </w:pPr>
      <w:r>
        <w:rPr>
          <w:rFonts w:hint="eastAsia" w:ascii="宋体" w:hAnsi="宋体" w:cs="宋体"/>
          <w:color w:val="auto"/>
          <w:szCs w:val="21"/>
          <w:highlight w:val="none"/>
        </w:rPr>
        <w:t>机房、UPS间地面采用水泥砂浆找平。</w:t>
      </w:r>
    </w:p>
    <w:p>
      <w:pPr>
        <w:numPr>
          <w:ilvl w:val="0"/>
          <w:numId w:val="21"/>
        </w:numPr>
        <w:spacing w:line="360" w:lineRule="auto"/>
        <w:rPr>
          <w:rFonts w:ascii="宋体" w:hAnsi="宋体" w:cs="宋体"/>
          <w:color w:val="auto"/>
          <w:szCs w:val="21"/>
          <w:highlight w:val="none"/>
        </w:rPr>
      </w:pPr>
      <w:r>
        <w:rPr>
          <w:rFonts w:hint="eastAsia" w:ascii="宋体" w:hAnsi="宋体" w:cs="宋体"/>
          <w:color w:val="auto"/>
          <w:szCs w:val="21"/>
          <w:highlight w:val="none"/>
        </w:rPr>
        <w:t>卷材之间所有拼缝均采用专用焊条处理成平整无缝，踢脚线采用墙面同材质地材上卷</w:t>
      </w:r>
      <w:r>
        <w:rPr>
          <w:rFonts w:ascii="宋体" w:hAnsi="宋体" w:cs="宋体"/>
          <w:color w:val="auto"/>
          <w:szCs w:val="21"/>
          <w:highlight w:val="none"/>
        </w:rPr>
        <w:t>100mm</w:t>
      </w:r>
      <w:r>
        <w:rPr>
          <w:rFonts w:hint="eastAsia" w:ascii="宋体" w:hAnsi="宋体" w:cs="宋体"/>
          <w:color w:val="auto"/>
          <w:szCs w:val="21"/>
          <w:highlight w:val="none"/>
        </w:rPr>
        <w:t>，与地面采用</w:t>
      </w:r>
      <w:r>
        <w:rPr>
          <w:rFonts w:ascii="宋体" w:hAnsi="宋体" w:cs="宋体"/>
          <w:color w:val="auto"/>
          <w:szCs w:val="21"/>
          <w:highlight w:val="none"/>
        </w:rPr>
        <w:t>R</w:t>
      </w:r>
      <w:r>
        <w:rPr>
          <w:rFonts w:hint="eastAsia" w:ascii="宋体" w:hAnsi="宋体" w:cs="宋体"/>
          <w:color w:val="auto"/>
          <w:szCs w:val="21"/>
          <w:highlight w:val="none"/>
        </w:rPr>
        <w:t>3</w:t>
      </w:r>
      <w:r>
        <w:rPr>
          <w:rFonts w:ascii="宋体" w:hAnsi="宋体" w:cs="宋体"/>
          <w:color w:val="auto"/>
          <w:szCs w:val="21"/>
          <w:highlight w:val="none"/>
        </w:rPr>
        <w:t>0mm</w:t>
      </w:r>
      <w:r>
        <w:rPr>
          <w:rFonts w:hint="eastAsia" w:ascii="宋体" w:hAnsi="宋体" w:cs="宋体"/>
          <w:color w:val="auto"/>
          <w:szCs w:val="21"/>
          <w:highlight w:val="none"/>
        </w:rPr>
        <w:t>圆弧过渡，踢脚线上沿设置成品收口条。</w:t>
      </w:r>
    </w:p>
    <w:p>
      <w:pPr>
        <w:numPr>
          <w:ilvl w:val="0"/>
          <w:numId w:val="21"/>
        </w:numPr>
        <w:spacing w:line="360" w:lineRule="auto"/>
        <w:rPr>
          <w:rFonts w:ascii="宋体" w:hAnsi="宋体" w:cs="宋体"/>
          <w:color w:val="auto"/>
          <w:szCs w:val="21"/>
          <w:highlight w:val="none"/>
        </w:rPr>
      </w:pPr>
      <w:r>
        <w:rPr>
          <w:rFonts w:hint="eastAsia" w:ascii="宋体" w:hAnsi="宋体" w:cs="宋体"/>
          <w:color w:val="auto"/>
          <w:szCs w:val="21"/>
          <w:highlight w:val="none"/>
        </w:rPr>
        <w:t>卷材铺设前必须采用优质自流平及界面处理剂处理。</w:t>
      </w:r>
    </w:p>
    <w:p>
      <w:pPr>
        <w:numPr>
          <w:ilvl w:val="0"/>
          <w:numId w:val="21"/>
        </w:numPr>
        <w:spacing w:line="360" w:lineRule="auto"/>
        <w:rPr>
          <w:rFonts w:ascii="宋体" w:hAnsi="宋体" w:cs="宋体"/>
          <w:color w:val="auto"/>
          <w:szCs w:val="21"/>
          <w:highlight w:val="none"/>
        </w:rPr>
      </w:pPr>
      <w:r>
        <w:rPr>
          <w:rFonts w:hint="eastAsia" w:ascii="宋体" w:hAnsi="宋体" w:cs="宋体"/>
          <w:color w:val="auto"/>
          <w:szCs w:val="21"/>
          <w:highlight w:val="none"/>
        </w:rPr>
        <w:t>招标区域内所有卷材与瓷砖交接处地面，均设置人造大理石门槛，门槛石均高于湿区地面10-20mm，与干区地面完成面齐平，湿区地面瓷砖施工均坡向地漏1%。其中范围线交界处地面门槛石均由招标方统一完成。</w:t>
      </w:r>
    </w:p>
    <w:p>
      <w:pPr>
        <w:pStyle w:val="9"/>
        <w:numPr>
          <w:ilvl w:val="0"/>
          <w:numId w:val="17"/>
        </w:numPr>
        <w:adjustRightInd w:val="0"/>
        <w:snapToGrid w:val="0"/>
        <w:spacing w:before="0" w:after="0" w:line="360" w:lineRule="auto"/>
        <w:rPr>
          <w:rFonts w:ascii="宋体" w:hAnsi="宋体" w:cs="宋体"/>
          <w:color w:val="auto"/>
          <w:sz w:val="21"/>
          <w:szCs w:val="21"/>
          <w:highlight w:val="none"/>
        </w:rPr>
      </w:pPr>
      <w:r>
        <w:rPr>
          <w:rFonts w:hint="eastAsia" w:ascii="宋体" w:hAnsi="宋体" w:cs="宋体"/>
          <w:color w:val="auto"/>
          <w:sz w:val="21"/>
          <w:szCs w:val="21"/>
          <w:highlight w:val="none"/>
        </w:rPr>
        <w:t>PVC卷材技术参数:</w:t>
      </w:r>
    </w:p>
    <w:p>
      <w:pPr>
        <w:numPr>
          <w:ilvl w:val="0"/>
          <w:numId w:val="22"/>
        </w:numPr>
        <w:spacing w:line="360" w:lineRule="auto"/>
        <w:rPr>
          <w:rFonts w:ascii="宋体" w:hAnsi="宋体" w:cs="宋体"/>
          <w:color w:val="auto"/>
          <w:szCs w:val="21"/>
          <w:highlight w:val="none"/>
        </w:rPr>
      </w:pPr>
      <w:r>
        <w:rPr>
          <w:rFonts w:hint="eastAsia" w:ascii="宋体" w:hAnsi="宋体" w:cs="宋体"/>
          <w:color w:val="auto"/>
          <w:szCs w:val="21"/>
          <w:highlight w:val="none"/>
        </w:rPr>
        <w:t>类型：厚度2.0mm花纹透底型、无方向性花纹、同质透心PVC卷材</w:t>
      </w:r>
    </w:p>
    <w:p>
      <w:pPr>
        <w:numPr>
          <w:ilvl w:val="0"/>
          <w:numId w:val="22"/>
        </w:numPr>
        <w:spacing w:line="360" w:lineRule="auto"/>
        <w:rPr>
          <w:rFonts w:ascii="宋体" w:hAnsi="宋体" w:cs="宋体"/>
          <w:color w:val="auto"/>
          <w:szCs w:val="21"/>
          <w:highlight w:val="none"/>
        </w:rPr>
      </w:pPr>
      <w:r>
        <w:rPr>
          <w:rFonts w:hint="eastAsia" w:ascii="宋体" w:hAnsi="宋体" w:cs="宋体"/>
          <w:color w:val="auto"/>
          <w:szCs w:val="21"/>
          <w:highlight w:val="none"/>
        </w:rPr>
        <w:t>耐磨等级：根据EN660-2：1999+A1：2003和EN649：2011要求测定:≥T级。</w:t>
      </w:r>
    </w:p>
    <w:p>
      <w:pPr>
        <w:numPr>
          <w:ilvl w:val="0"/>
          <w:numId w:val="22"/>
        </w:numPr>
        <w:spacing w:line="360" w:lineRule="auto"/>
        <w:rPr>
          <w:rFonts w:ascii="宋体" w:hAnsi="宋体" w:cs="宋体"/>
          <w:color w:val="auto"/>
          <w:szCs w:val="21"/>
          <w:highlight w:val="none"/>
        </w:rPr>
      </w:pPr>
      <w:r>
        <w:rPr>
          <w:rFonts w:hint="eastAsia" w:ascii="宋体" w:hAnsi="宋体" w:cs="宋体"/>
          <w:color w:val="auto"/>
          <w:szCs w:val="21"/>
          <w:highlight w:val="none"/>
        </w:rPr>
        <w:t>耐磨性：根据GB/T 4085-2005要求测定≈0.04。</w:t>
      </w:r>
    </w:p>
    <w:p>
      <w:pPr>
        <w:numPr>
          <w:ilvl w:val="0"/>
          <w:numId w:val="22"/>
        </w:numPr>
        <w:spacing w:line="360" w:lineRule="auto"/>
        <w:rPr>
          <w:rFonts w:ascii="宋体" w:hAnsi="宋体" w:cs="宋体"/>
          <w:color w:val="auto"/>
          <w:szCs w:val="21"/>
          <w:highlight w:val="none"/>
        </w:rPr>
      </w:pPr>
      <w:r>
        <w:rPr>
          <w:rFonts w:hint="eastAsia" w:ascii="宋体" w:hAnsi="宋体" w:cs="宋体"/>
          <w:color w:val="auto"/>
          <w:szCs w:val="21"/>
          <w:highlight w:val="none"/>
        </w:rPr>
        <w:t>防火等级：符合GB8624-2012判定：该产品燃烧性能达到难燃B1(B-s1,t0)级。</w:t>
      </w:r>
    </w:p>
    <w:p>
      <w:pPr>
        <w:numPr>
          <w:ilvl w:val="0"/>
          <w:numId w:val="22"/>
        </w:numPr>
        <w:spacing w:line="360" w:lineRule="auto"/>
        <w:rPr>
          <w:rFonts w:ascii="宋体" w:hAnsi="宋体" w:cs="宋体"/>
          <w:color w:val="auto"/>
          <w:szCs w:val="21"/>
          <w:highlight w:val="none"/>
        </w:rPr>
      </w:pPr>
      <w:r>
        <w:rPr>
          <w:rFonts w:hint="eastAsia" w:ascii="宋体" w:hAnsi="宋体" w:cs="宋体"/>
          <w:color w:val="auto"/>
          <w:szCs w:val="21"/>
          <w:highlight w:val="none"/>
        </w:rPr>
        <w:t>有害物质检测：应符合GB18586-2001要求测定，未检出氯乙烯单体、可溶性重金属（铅、镉），挥发物符合要求。</w:t>
      </w:r>
    </w:p>
    <w:p>
      <w:pPr>
        <w:numPr>
          <w:ilvl w:val="0"/>
          <w:numId w:val="22"/>
        </w:numPr>
        <w:spacing w:line="360" w:lineRule="auto"/>
        <w:rPr>
          <w:rFonts w:ascii="宋体" w:hAnsi="宋体" w:cs="宋体"/>
          <w:color w:val="auto"/>
          <w:szCs w:val="21"/>
          <w:highlight w:val="none"/>
        </w:rPr>
      </w:pPr>
      <w:r>
        <w:rPr>
          <w:rFonts w:hint="eastAsia" w:ascii="宋体" w:hAnsi="宋体" w:cs="宋体"/>
          <w:color w:val="auto"/>
          <w:szCs w:val="21"/>
          <w:highlight w:val="none"/>
        </w:rPr>
        <w:t>单位面积重量：符合GB/T11982.1-2015要求测定，</w:t>
      </w:r>
      <w:r>
        <w:rPr>
          <w:rFonts w:ascii="宋体" w:hAnsi="宋体" w:cs="宋体"/>
          <w:color w:val="auto"/>
          <w:szCs w:val="21"/>
          <w:highlight w:val="none"/>
        </w:rPr>
        <w:t>≈</w:t>
      </w:r>
      <w:r>
        <w:rPr>
          <w:rFonts w:hint="eastAsia" w:ascii="宋体" w:hAnsi="宋体" w:cs="宋体"/>
          <w:color w:val="auto"/>
          <w:szCs w:val="21"/>
          <w:highlight w:val="none"/>
        </w:rPr>
        <w:t>2</w:t>
      </w:r>
      <w:r>
        <w:rPr>
          <w:rFonts w:hint="eastAsia" w:ascii="宋体" w:hAnsi="宋体" w:cs="宋体"/>
          <w:color w:val="auto"/>
          <w:szCs w:val="21"/>
          <w:highlight w:val="none"/>
          <w:lang w:val="en-US" w:eastAsia="zh-CN"/>
        </w:rPr>
        <w:t>.</w:t>
      </w:r>
      <w:r>
        <w:rPr>
          <w:rFonts w:hint="eastAsia" w:ascii="宋体" w:hAnsi="宋体" w:cs="宋体"/>
          <w:color w:val="auto"/>
          <w:szCs w:val="21"/>
          <w:highlight w:val="none"/>
        </w:rPr>
        <w:t>75kg/㎡。</w:t>
      </w:r>
    </w:p>
    <w:p>
      <w:pPr>
        <w:numPr>
          <w:ilvl w:val="0"/>
          <w:numId w:val="22"/>
        </w:numPr>
        <w:spacing w:line="360" w:lineRule="auto"/>
        <w:rPr>
          <w:rFonts w:ascii="宋体" w:hAnsi="宋体" w:cs="宋体"/>
          <w:color w:val="auto"/>
          <w:szCs w:val="21"/>
          <w:highlight w:val="none"/>
        </w:rPr>
      </w:pPr>
      <w:r>
        <w:rPr>
          <w:rFonts w:hint="eastAsia" w:ascii="宋体" w:hAnsi="宋体" w:cs="宋体"/>
          <w:color w:val="auto"/>
          <w:szCs w:val="21"/>
          <w:highlight w:val="none"/>
        </w:rPr>
        <w:t>焊接强度：应符合EN684-1996，≥620 N/50 mm。</w:t>
      </w:r>
    </w:p>
    <w:p>
      <w:pPr>
        <w:numPr>
          <w:ilvl w:val="0"/>
          <w:numId w:val="22"/>
        </w:numPr>
        <w:spacing w:line="360" w:lineRule="auto"/>
        <w:rPr>
          <w:rFonts w:ascii="宋体" w:hAnsi="宋体" w:cs="宋体"/>
          <w:color w:val="auto"/>
          <w:szCs w:val="21"/>
          <w:highlight w:val="none"/>
        </w:rPr>
      </w:pPr>
      <w:r>
        <w:rPr>
          <w:rFonts w:hint="eastAsia" w:ascii="宋体" w:hAnsi="宋体" w:cs="宋体"/>
          <w:color w:val="auto"/>
          <w:szCs w:val="21"/>
          <w:highlight w:val="none"/>
        </w:rPr>
        <w:t>防滑性：应符合EN14014和EN13893要求，达到技术等级DS。</w:t>
      </w:r>
    </w:p>
    <w:p>
      <w:pPr>
        <w:numPr>
          <w:ilvl w:val="0"/>
          <w:numId w:val="22"/>
        </w:numPr>
        <w:spacing w:line="360" w:lineRule="auto"/>
        <w:rPr>
          <w:rFonts w:ascii="宋体" w:hAnsi="宋体" w:cs="宋体"/>
          <w:color w:val="auto"/>
          <w:szCs w:val="21"/>
          <w:highlight w:val="none"/>
        </w:rPr>
      </w:pPr>
      <w:r>
        <w:rPr>
          <w:rFonts w:hint="eastAsia" w:ascii="宋体" w:hAnsi="宋体" w:cs="宋体"/>
          <w:color w:val="auto"/>
          <w:szCs w:val="21"/>
          <w:highlight w:val="none"/>
        </w:rPr>
        <w:t>TVOC（挥发有机化合物）检测：符合挥发物有机化合物测试要求测定，结果≤10µg/m3 。</w:t>
      </w:r>
    </w:p>
    <w:p>
      <w:pPr>
        <w:numPr>
          <w:ilvl w:val="0"/>
          <w:numId w:val="22"/>
        </w:numPr>
        <w:spacing w:line="360" w:lineRule="auto"/>
        <w:rPr>
          <w:rFonts w:ascii="宋体" w:hAnsi="宋体" w:cs="宋体"/>
          <w:color w:val="auto"/>
          <w:szCs w:val="21"/>
          <w:highlight w:val="none"/>
        </w:rPr>
      </w:pPr>
      <w:r>
        <w:rPr>
          <w:rFonts w:hint="eastAsia" w:ascii="宋体" w:hAnsi="宋体" w:cs="宋体"/>
          <w:color w:val="auto"/>
          <w:szCs w:val="21"/>
          <w:highlight w:val="none"/>
        </w:rPr>
        <w:t>同质透心PVC卷材地板VOCs、醛酮化合物检测：28天后排放量通过ISO16000-9：2006/COR1-2007、ISO16000-6：2011、ISO16000-3：2011测试，（苯、甲苯、乙苯、间/对二甲苯、邻二甲苯、苯乙烯、正十一烷、1，4-对二氧笨、TVOC、甲醛、乙醛）测试结果均为：ND，未检出。</w:t>
      </w:r>
    </w:p>
    <w:p>
      <w:pPr>
        <w:numPr>
          <w:ilvl w:val="0"/>
          <w:numId w:val="22"/>
        </w:numPr>
        <w:spacing w:line="360" w:lineRule="auto"/>
        <w:rPr>
          <w:rFonts w:ascii="宋体" w:hAnsi="宋体" w:cs="宋体"/>
          <w:color w:val="auto"/>
          <w:szCs w:val="21"/>
          <w:highlight w:val="none"/>
        </w:rPr>
      </w:pPr>
      <w:r>
        <w:rPr>
          <w:rFonts w:hint="eastAsia" w:ascii="宋体" w:hAnsi="宋体" w:cs="宋体"/>
          <w:color w:val="auto"/>
          <w:szCs w:val="21"/>
          <w:highlight w:val="none"/>
        </w:rPr>
        <w:t>甲醛测试：应符合GB18580-2001要求，未检出。</w:t>
      </w:r>
    </w:p>
    <w:p>
      <w:pPr>
        <w:numPr>
          <w:ilvl w:val="0"/>
          <w:numId w:val="22"/>
        </w:numPr>
        <w:spacing w:line="360" w:lineRule="auto"/>
        <w:rPr>
          <w:rFonts w:ascii="宋体" w:hAnsi="宋体" w:cs="宋体"/>
          <w:color w:val="auto"/>
          <w:szCs w:val="21"/>
          <w:highlight w:val="none"/>
        </w:rPr>
      </w:pPr>
      <w:r>
        <w:rPr>
          <w:rFonts w:hint="eastAsia" w:ascii="宋体" w:hAnsi="宋体" w:cs="宋体"/>
          <w:color w:val="auto"/>
          <w:szCs w:val="21"/>
          <w:highlight w:val="none"/>
        </w:rPr>
        <w:t>防滑等级：符合DIN 51130要求测定，≥R9。</w:t>
      </w:r>
    </w:p>
    <w:p>
      <w:pPr>
        <w:numPr>
          <w:ilvl w:val="0"/>
          <w:numId w:val="22"/>
        </w:numPr>
        <w:spacing w:line="360" w:lineRule="auto"/>
        <w:rPr>
          <w:rFonts w:ascii="宋体" w:hAnsi="宋体" w:cs="宋体"/>
          <w:color w:val="auto"/>
          <w:szCs w:val="21"/>
          <w:highlight w:val="none"/>
        </w:rPr>
      </w:pPr>
      <w:r>
        <w:rPr>
          <w:rFonts w:hint="eastAsia" w:ascii="宋体" w:hAnsi="宋体" w:cs="宋体"/>
          <w:color w:val="auto"/>
          <w:szCs w:val="21"/>
          <w:highlight w:val="none"/>
        </w:rPr>
        <w:t>洁净室认证：满足ISO 14644-1标准，测试等级为ISO Class 3级。</w:t>
      </w:r>
    </w:p>
    <w:p>
      <w:pPr>
        <w:pStyle w:val="9"/>
        <w:numPr>
          <w:ilvl w:val="0"/>
          <w:numId w:val="17"/>
        </w:numPr>
        <w:adjustRightInd w:val="0"/>
        <w:snapToGrid w:val="0"/>
        <w:spacing w:before="0" w:after="0" w:line="360" w:lineRule="auto"/>
        <w:rPr>
          <w:rFonts w:ascii="宋体" w:hAnsi="宋体" w:cs="宋体"/>
          <w:color w:val="auto"/>
          <w:sz w:val="21"/>
          <w:szCs w:val="21"/>
          <w:highlight w:val="none"/>
        </w:rPr>
      </w:pPr>
      <w:r>
        <w:rPr>
          <w:rFonts w:hint="eastAsia" w:ascii="宋体" w:hAnsi="宋体" w:cs="宋体"/>
          <w:color w:val="auto"/>
          <w:sz w:val="21"/>
          <w:szCs w:val="21"/>
          <w:highlight w:val="none"/>
        </w:rPr>
        <w:t>天花：</w:t>
      </w:r>
    </w:p>
    <w:p>
      <w:pPr>
        <w:numPr>
          <w:ilvl w:val="0"/>
          <w:numId w:val="23"/>
        </w:numPr>
        <w:spacing w:line="360" w:lineRule="auto"/>
        <w:rPr>
          <w:rFonts w:ascii="宋体" w:hAnsi="宋体" w:cs="宋体"/>
          <w:color w:val="auto"/>
          <w:szCs w:val="21"/>
          <w:highlight w:val="none"/>
        </w:rPr>
      </w:pPr>
      <w:r>
        <w:rPr>
          <w:rFonts w:hint="eastAsia" w:ascii="宋体" w:hAnsi="宋体" w:cs="宋体"/>
          <w:color w:val="auto"/>
          <w:szCs w:val="21"/>
          <w:highlight w:val="none"/>
        </w:rPr>
        <w:t>手术室（含产房手术室、DSA、隔离待产）天花：</w:t>
      </w:r>
      <w:r>
        <w:rPr>
          <w:rFonts w:hint="eastAsia"/>
          <w:color w:val="auto"/>
          <w:highlight w:val="none"/>
        </w:rPr>
        <w:t>30*50*1.5</w:t>
      </w:r>
      <w:r>
        <w:rPr>
          <w:rFonts w:hint="eastAsia" w:ascii="宋体" w:hAnsi="宋体" w:cs="宋体"/>
          <w:color w:val="auto"/>
          <w:szCs w:val="21"/>
          <w:highlight w:val="none"/>
        </w:rPr>
        <w:t>镀锌方管龙骨+9.5mm厚防潮石膏板基层，面层选用1.2mm厚耐清洗、耐碰撞、阻燃、隔音、保温、防潮、防锈的优质电解钢板，板材全部在工厂预制烤漆成型，施工现场模块化安装，不允许采用现场切割、禁止现场喷涂。板缝采用进口防霉抗菌硅胶密封；手术室墙面与墙面、墙面与吊顶均采用圆弧（圆弧半径R≥300mm）过渡。</w:t>
      </w:r>
    </w:p>
    <w:p>
      <w:pPr>
        <w:numPr>
          <w:ilvl w:val="0"/>
          <w:numId w:val="23"/>
        </w:numPr>
        <w:spacing w:line="360" w:lineRule="auto"/>
        <w:rPr>
          <w:rFonts w:ascii="宋体" w:hAnsi="宋体" w:cs="宋体"/>
          <w:color w:val="auto"/>
          <w:szCs w:val="21"/>
          <w:highlight w:val="none"/>
        </w:rPr>
      </w:pPr>
      <w:r>
        <w:rPr>
          <w:rFonts w:hint="eastAsia" w:ascii="宋体" w:hAnsi="宋体" w:cs="宋体"/>
          <w:color w:val="auto"/>
          <w:szCs w:val="21"/>
          <w:highlight w:val="none"/>
        </w:rPr>
        <w:t>手术部(含产房手术室、DSA、隔离待产)洁净走廊辅房（除湿区外）吊顶均采用轻钢龙骨封9.5mm石膏板，再贴洁菌板。</w:t>
      </w:r>
    </w:p>
    <w:p>
      <w:pPr>
        <w:numPr>
          <w:ilvl w:val="0"/>
          <w:numId w:val="23"/>
        </w:numPr>
        <w:spacing w:line="360" w:lineRule="auto"/>
        <w:rPr>
          <w:rFonts w:ascii="宋体" w:hAnsi="宋体" w:cs="宋体"/>
          <w:color w:val="auto"/>
          <w:szCs w:val="21"/>
          <w:highlight w:val="none"/>
        </w:rPr>
      </w:pPr>
      <w:r>
        <w:rPr>
          <w:rFonts w:hint="eastAsia" w:ascii="宋体" w:hAnsi="宋体" w:cs="宋体"/>
          <w:color w:val="auto"/>
          <w:szCs w:val="21"/>
          <w:highlight w:val="none"/>
        </w:rPr>
        <w:t>办公区域、污物辅房、污物走廊等区域吊顶材料均采用60轻钢龙骨，外贴9.5mm石膏板，再刷抗菌涂料。</w:t>
      </w:r>
    </w:p>
    <w:p>
      <w:pPr>
        <w:numPr>
          <w:ilvl w:val="0"/>
          <w:numId w:val="23"/>
        </w:numPr>
        <w:spacing w:line="360" w:lineRule="auto"/>
        <w:rPr>
          <w:rFonts w:ascii="宋体" w:hAnsi="宋体" w:cs="宋体"/>
          <w:color w:val="auto"/>
          <w:szCs w:val="21"/>
          <w:highlight w:val="none"/>
        </w:rPr>
      </w:pPr>
      <w:r>
        <w:rPr>
          <w:rFonts w:hint="eastAsia" w:ascii="宋体" w:hAnsi="宋体" w:cs="宋体"/>
          <w:color w:val="auto"/>
          <w:szCs w:val="21"/>
          <w:highlight w:val="none"/>
        </w:rPr>
        <w:t>各科室招标范围内的卫浴间、污洗间、洁具间等所有湿区吊顶均采用0.8mm厚铝扣板。</w:t>
      </w:r>
    </w:p>
    <w:p>
      <w:pPr>
        <w:numPr>
          <w:ilvl w:val="0"/>
          <w:numId w:val="23"/>
        </w:numPr>
        <w:spacing w:line="360" w:lineRule="auto"/>
        <w:rPr>
          <w:rFonts w:ascii="宋体" w:hAnsi="宋体" w:cs="宋体"/>
          <w:color w:val="auto"/>
          <w:szCs w:val="21"/>
          <w:highlight w:val="none"/>
        </w:rPr>
      </w:pPr>
      <w:r>
        <w:rPr>
          <w:rFonts w:hint="eastAsia" w:ascii="宋体" w:hAnsi="宋体" w:cs="宋体"/>
          <w:color w:val="auto"/>
          <w:szCs w:val="21"/>
          <w:highlight w:val="none"/>
        </w:rPr>
        <w:t>当吊顶内吊杆长度大于1.5米，吊顶内应按《建筑装饰装修工程施工质量验收规范》要求设置反支撑。</w:t>
      </w:r>
    </w:p>
    <w:p>
      <w:pPr>
        <w:numPr>
          <w:ilvl w:val="0"/>
          <w:numId w:val="23"/>
        </w:numPr>
        <w:spacing w:line="360" w:lineRule="auto"/>
        <w:rPr>
          <w:rFonts w:ascii="宋体" w:hAnsi="宋体" w:cs="宋体"/>
          <w:b/>
          <w:bCs/>
          <w:strike/>
          <w:color w:val="auto"/>
          <w:szCs w:val="21"/>
          <w:highlight w:val="none"/>
        </w:rPr>
      </w:pPr>
      <w:r>
        <w:rPr>
          <w:rFonts w:hint="eastAsia" w:ascii="宋体" w:hAnsi="宋体" w:cs="宋体"/>
          <w:color w:val="auto"/>
          <w:szCs w:val="21"/>
          <w:highlight w:val="none"/>
        </w:rPr>
        <w:t>手术室吊顶高度宜为3.0m，其他区域吊顶高度宜为2.6m。具体以现场实际条件为准。</w:t>
      </w:r>
    </w:p>
    <w:p>
      <w:pPr>
        <w:pStyle w:val="9"/>
        <w:numPr>
          <w:ilvl w:val="0"/>
          <w:numId w:val="17"/>
        </w:numPr>
        <w:adjustRightInd w:val="0"/>
        <w:snapToGrid w:val="0"/>
        <w:spacing w:before="0" w:after="0" w:line="360" w:lineRule="auto"/>
        <w:rPr>
          <w:rFonts w:ascii="宋体" w:hAnsi="宋体" w:cs="宋体"/>
          <w:color w:val="auto"/>
          <w:sz w:val="21"/>
          <w:szCs w:val="21"/>
          <w:highlight w:val="none"/>
        </w:rPr>
      </w:pPr>
      <w:r>
        <w:rPr>
          <w:rFonts w:hint="eastAsia" w:ascii="宋体" w:hAnsi="宋体" w:cs="宋体"/>
          <w:color w:val="auto"/>
          <w:sz w:val="21"/>
          <w:szCs w:val="21"/>
          <w:highlight w:val="none"/>
        </w:rPr>
        <w:t>门：</w:t>
      </w:r>
    </w:p>
    <w:p>
      <w:pPr>
        <w:numPr>
          <w:ilvl w:val="0"/>
          <w:numId w:val="24"/>
        </w:numPr>
        <w:spacing w:line="360" w:lineRule="auto"/>
        <w:rPr>
          <w:rFonts w:ascii="宋体" w:hAnsi="宋体" w:cs="宋体"/>
          <w:color w:val="auto"/>
          <w:szCs w:val="21"/>
          <w:highlight w:val="none"/>
        </w:rPr>
      </w:pPr>
      <w:r>
        <w:rPr>
          <w:rFonts w:hint="eastAsia" w:ascii="宋体" w:hAnsi="宋体" w:cs="宋体"/>
          <w:color w:val="auto"/>
          <w:szCs w:val="21"/>
          <w:highlight w:val="none"/>
        </w:rPr>
        <w:t>▲医用自动门：手术室靠洁净走廊侧采用净通过尺寸不小于1500*2100的医用自动门，应具有光控、手控、脚控等多种开启方式，带延时关闭功能，停电时可手动开启，运行速度可作调校，手术室门盖上需有“手术中”指示灯，其中防辐射手术室门盖上应加设“放射中”指示灯。其他自动门尺寸及设置位置见发标图纸。</w:t>
      </w:r>
    </w:p>
    <w:p>
      <w:pPr>
        <w:numPr>
          <w:ilvl w:val="0"/>
          <w:numId w:val="24"/>
        </w:numPr>
        <w:spacing w:line="360" w:lineRule="auto"/>
        <w:rPr>
          <w:rFonts w:ascii="宋体" w:hAnsi="宋体" w:cs="宋体"/>
          <w:color w:val="auto"/>
          <w:szCs w:val="21"/>
          <w:highlight w:val="none"/>
        </w:rPr>
      </w:pPr>
      <w:r>
        <w:rPr>
          <w:rFonts w:hint="eastAsia" w:ascii="宋体" w:hAnsi="宋体" w:cs="宋体"/>
          <w:color w:val="auto"/>
          <w:szCs w:val="21"/>
          <w:highlight w:val="none"/>
        </w:rPr>
        <w:t>自动门门机：</w:t>
      </w:r>
    </w:p>
    <w:p>
      <w:pPr>
        <w:numPr>
          <w:ilvl w:val="0"/>
          <w:numId w:val="25"/>
        </w:numPr>
        <w:spacing w:line="360" w:lineRule="auto"/>
        <w:ind w:left="0" w:firstLine="403"/>
        <w:rPr>
          <w:rFonts w:ascii="宋体" w:hAnsi="宋体" w:cs="宋体"/>
          <w:color w:val="auto"/>
          <w:szCs w:val="21"/>
          <w:highlight w:val="none"/>
        </w:rPr>
      </w:pPr>
      <w:r>
        <w:rPr>
          <w:rFonts w:hint="eastAsia" w:ascii="宋体" w:hAnsi="宋体" w:cs="宋体"/>
          <w:color w:val="auto"/>
          <w:szCs w:val="21"/>
          <w:highlight w:val="none"/>
        </w:rPr>
        <w:t>开门可调停留时间；</w:t>
      </w:r>
    </w:p>
    <w:p>
      <w:pPr>
        <w:numPr>
          <w:ilvl w:val="0"/>
          <w:numId w:val="25"/>
        </w:numPr>
        <w:spacing w:line="360" w:lineRule="auto"/>
        <w:ind w:left="0" w:firstLine="403"/>
        <w:rPr>
          <w:rFonts w:ascii="宋体" w:hAnsi="宋体" w:cs="宋体"/>
          <w:color w:val="auto"/>
          <w:szCs w:val="21"/>
          <w:highlight w:val="none"/>
        </w:rPr>
      </w:pPr>
      <w:r>
        <w:rPr>
          <w:rFonts w:hint="eastAsia" w:ascii="宋体" w:hAnsi="宋体" w:cs="宋体"/>
          <w:color w:val="auto"/>
          <w:szCs w:val="21"/>
          <w:highlight w:val="none"/>
        </w:rPr>
        <w:t>安全性能：遇阻反弹力可调；</w:t>
      </w:r>
    </w:p>
    <w:p>
      <w:pPr>
        <w:numPr>
          <w:ilvl w:val="0"/>
          <w:numId w:val="25"/>
        </w:numPr>
        <w:spacing w:line="360" w:lineRule="auto"/>
        <w:ind w:left="0" w:firstLine="403"/>
        <w:rPr>
          <w:rFonts w:ascii="宋体" w:hAnsi="宋体" w:cs="宋体"/>
          <w:color w:val="auto"/>
          <w:szCs w:val="21"/>
          <w:highlight w:val="none"/>
        </w:rPr>
      </w:pPr>
      <w:r>
        <w:rPr>
          <w:rFonts w:hint="eastAsia" w:ascii="宋体" w:hAnsi="宋体" w:cs="宋体"/>
          <w:color w:val="auto"/>
          <w:szCs w:val="21"/>
          <w:highlight w:val="none"/>
        </w:rPr>
        <w:t>可承受最大门重：2×120KG；</w:t>
      </w:r>
    </w:p>
    <w:p>
      <w:pPr>
        <w:numPr>
          <w:ilvl w:val="0"/>
          <w:numId w:val="25"/>
        </w:numPr>
        <w:spacing w:line="360" w:lineRule="auto"/>
        <w:ind w:left="0" w:firstLine="403"/>
        <w:rPr>
          <w:rFonts w:ascii="宋体" w:hAnsi="宋体" w:cs="宋体"/>
          <w:color w:val="auto"/>
          <w:szCs w:val="21"/>
          <w:highlight w:val="none"/>
        </w:rPr>
      </w:pPr>
      <w:r>
        <w:rPr>
          <w:rFonts w:hint="eastAsia" w:ascii="宋体" w:hAnsi="宋体" w:cs="宋体"/>
          <w:color w:val="auto"/>
          <w:szCs w:val="21"/>
          <w:highlight w:val="none"/>
        </w:rPr>
        <w:t>有消防联动功能接口；</w:t>
      </w:r>
    </w:p>
    <w:p>
      <w:pPr>
        <w:numPr>
          <w:ilvl w:val="0"/>
          <w:numId w:val="25"/>
        </w:numPr>
        <w:spacing w:line="360" w:lineRule="auto"/>
        <w:ind w:left="0" w:firstLine="403"/>
        <w:rPr>
          <w:rFonts w:ascii="宋体" w:hAnsi="宋体" w:cs="宋体"/>
          <w:color w:val="auto"/>
          <w:szCs w:val="21"/>
          <w:highlight w:val="none"/>
        </w:rPr>
      </w:pPr>
      <w:r>
        <w:rPr>
          <w:rFonts w:hint="eastAsia" w:ascii="宋体" w:hAnsi="宋体" w:cs="宋体"/>
          <w:color w:val="auto"/>
          <w:szCs w:val="21"/>
          <w:highlight w:val="none"/>
        </w:rPr>
        <w:t xml:space="preserve">可外接门禁； </w:t>
      </w:r>
    </w:p>
    <w:p>
      <w:pPr>
        <w:numPr>
          <w:ilvl w:val="0"/>
          <w:numId w:val="24"/>
        </w:numPr>
        <w:spacing w:line="360" w:lineRule="auto"/>
        <w:rPr>
          <w:rFonts w:ascii="宋体" w:hAnsi="宋体" w:cs="宋体"/>
          <w:color w:val="auto"/>
          <w:szCs w:val="21"/>
          <w:highlight w:val="none"/>
        </w:rPr>
      </w:pPr>
      <w:r>
        <w:rPr>
          <w:rFonts w:hint="eastAsia" w:ascii="宋体" w:hAnsi="宋体" w:cs="宋体"/>
          <w:color w:val="auto"/>
          <w:szCs w:val="21"/>
          <w:highlight w:val="none"/>
        </w:rPr>
        <w:t>各科室与其他场所或部位分隔（公共区域交接处)墙上必须设置的门应采用乙级防火门，由招标方负责采购、施工，中标方提供相关配合。</w:t>
      </w:r>
    </w:p>
    <w:p>
      <w:pPr>
        <w:numPr>
          <w:ilvl w:val="0"/>
          <w:numId w:val="24"/>
        </w:numPr>
        <w:spacing w:line="360" w:lineRule="auto"/>
        <w:rPr>
          <w:rFonts w:ascii="宋体" w:hAnsi="宋体" w:cs="宋体"/>
          <w:color w:val="auto"/>
          <w:szCs w:val="21"/>
          <w:highlight w:val="none"/>
        </w:rPr>
      </w:pPr>
      <w:r>
        <w:rPr>
          <w:rFonts w:hint="eastAsia" w:ascii="宋体" w:hAnsi="宋体" w:cs="宋体"/>
          <w:color w:val="auto"/>
          <w:szCs w:val="21"/>
          <w:highlight w:val="none"/>
        </w:rPr>
        <w:t>各科室与其他场所或部位分隔（公共区域交接处)墙上必须设置的窗应采用乙级防火窗，由招标方负责采购、施工，中标方提供相关配合。</w:t>
      </w:r>
    </w:p>
    <w:p>
      <w:pPr>
        <w:pStyle w:val="9"/>
        <w:numPr>
          <w:ilvl w:val="0"/>
          <w:numId w:val="17"/>
        </w:numPr>
        <w:adjustRightInd w:val="0"/>
        <w:snapToGrid w:val="0"/>
        <w:spacing w:line="360" w:lineRule="auto"/>
        <w:ind w:firstLine="420" w:firstLineChars="200"/>
        <w:rPr>
          <w:rFonts w:ascii="宋体" w:hAnsi="宋体" w:cs="宋体"/>
          <w:b w:val="0"/>
          <w:bCs w:val="0"/>
          <w:color w:val="auto"/>
          <w:sz w:val="21"/>
          <w:szCs w:val="21"/>
          <w:highlight w:val="none"/>
        </w:rPr>
      </w:pPr>
      <w:r>
        <w:rPr>
          <w:rFonts w:hint="eastAsia" w:ascii="宋体" w:hAnsi="宋体" w:cs="宋体"/>
          <w:b w:val="0"/>
          <w:bCs w:val="0"/>
          <w:color w:val="auto"/>
          <w:sz w:val="21"/>
          <w:szCs w:val="21"/>
          <w:highlight w:val="none"/>
        </w:rPr>
        <w:t>无机预涂板</w:t>
      </w:r>
    </w:p>
    <w:p>
      <w:pPr>
        <w:numPr>
          <w:ilvl w:val="0"/>
          <w:numId w:val="26"/>
        </w:numPr>
        <w:tabs>
          <w:tab w:val="left" w:pos="220"/>
        </w:tabs>
        <w:spacing w:line="360" w:lineRule="auto"/>
        <w:ind w:firstLine="400"/>
        <w:rPr>
          <w:rFonts w:ascii="宋体" w:hAnsi="宋体" w:cs="宋体"/>
          <w:color w:val="auto"/>
          <w:szCs w:val="21"/>
          <w:highlight w:val="none"/>
          <w:lang w:eastAsia="zh-TW"/>
        </w:rPr>
      </w:pPr>
      <w:r>
        <w:rPr>
          <w:rFonts w:hint="eastAsia" w:ascii="宋体" w:hAnsi="宋体" w:cs="宋体"/>
          <w:color w:val="auto"/>
          <w:szCs w:val="21"/>
          <w:highlight w:val="none"/>
          <w:lang w:eastAsia="zh-TW"/>
        </w:rPr>
        <w:t>规格：6mm厚无机预涂板，要求采用性能优异、适合洁净区使用的产品，具有抗菌、耐污染、易清洗、消毒、耐药品侵蚀性能，材料尺寸稳定、耐久性好，防火性能符合相关规范，抗撞击性能好。</w:t>
      </w:r>
    </w:p>
    <w:p>
      <w:pPr>
        <w:numPr>
          <w:ilvl w:val="0"/>
          <w:numId w:val="26"/>
        </w:numPr>
        <w:tabs>
          <w:tab w:val="left" w:pos="220"/>
        </w:tabs>
        <w:spacing w:line="360" w:lineRule="auto"/>
        <w:ind w:firstLine="400"/>
        <w:rPr>
          <w:rFonts w:ascii="宋体" w:hAnsi="宋体" w:cs="宋体"/>
          <w:color w:val="auto"/>
          <w:szCs w:val="21"/>
          <w:highlight w:val="none"/>
          <w:lang w:eastAsia="zh-TW"/>
        </w:rPr>
      </w:pPr>
      <w:r>
        <w:rPr>
          <w:rFonts w:hint="eastAsia" w:ascii="宋体" w:hAnsi="宋体" w:cs="宋体"/>
          <w:color w:val="auto"/>
          <w:szCs w:val="21"/>
          <w:highlight w:val="none"/>
          <w:lang w:eastAsia="zh-TW"/>
        </w:rPr>
        <w:t>燃烧性能：材料燃烧性能需达到A1级。</w:t>
      </w:r>
    </w:p>
    <w:p>
      <w:pPr>
        <w:numPr>
          <w:ilvl w:val="0"/>
          <w:numId w:val="26"/>
        </w:numPr>
        <w:tabs>
          <w:tab w:val="left" w:pos="220"/>
        </w:tabs>
        <w:spacing w:line="360" w:lineRule="auto"/>
        <w:ind w:firstLine="400"/>
        <w:rPr>
          <w:rFonts w:ascii="宋体" w:hAnsi="宋体" w:cs="宋体"/>
          <w:color w:val="auto"/>
          <w:szCs w:val="21"/>
          <w:highlight w:val="none"/>
          <w:lang w:eastAsia="zh-TW"/>
        </w:rPr>
      </w:pPr>
      <w:r>
        <w:rPr>
          <w:rFonts w:hint="eastAsia" w:ascii="宋体" w:hAnsi="宋体" w:cs="宋体"/>
          <w:color w:val="auto"/>
          <w:szCs w:val="21"/>
          <w:highlight w:val="none"/>
          <w:lang w:eastAsia="zh-TW"/>
        </w:rPr>
        <w:t>耐火极限：≥2小时。</w:t>
      </w:r>
    </w:p>
    <w:p>
      <w:pPr>
        <w:numPr>
          <w:ilvl w:val="0"/>
          <w:numId w:val="26"/>
        </w:numPr>
        <w:tabs>
          <w:tab w:val="left" w:pos="220"/>
        </w:tabs>
        <w:spacing w:line="360" w:lineRule="auto"/>
        <w:ind w:firstLine="400"/>
        <w:rPr>
          <w:rFonts w:ascii="宋体" w:hAnsi="宋体" w:cs="宋体"/>
          <w:color w:val="auto"/>
          <w:szCs w:val="21"/>
          <w:highlight w:val="none"/>
          <w:lang w:eastAsia="zh-TW"/>
        </w:rPr>
      </w:pPr>
      <w:r>
        <w:rPr>
          <w:rFonts w:hint="eastAsia" w:ascii="宋体" w:hAnsi="宋体" w:cs="宋体"/>
          <w:color w:val="auto"/>
          <w:szCs w:val="21"/>
          <w:highlight w:val="none"/>
          <w:lang w:eastAsia="zh-TW"/>
        </w:rPr>
        <w:t>产品硬度需达到≥4H。</w:t>
      </w:r>
    </w:p>
    <w:p>
      <w:pPr>
        <w:numPr>
          <w:ilvl w:val="0"/>
          <w:numId w:val="26"/>
        </w:numPr>
        <w:tabs>
          <w:tab w:val="left" w:pos="220"/>
        </w:tabs>
        <w:spacing w:line="360" w:lineRule="auto"/>
        <w:ind w:firstLine="400"/>
        <w:rPr>
          <w:rFonts w:ascii="宋体" w:hAnsi="宋体" w:cs="宋体"/>
          <w:color w:val="auto"/>
          <w:szCs w:val="21"/>
          <w:highlight w:val="none"/>
          <w:lang w:eastAsia="zh-TW"/>
        </w:rPr>
      </w:pPr>
      <w:r>
        <w:rPr>
          <w:rFonts w:hint="eastAsia" w:ascii="宋体" w:hAnsi="宋体" w:cs="宋体"/>
          <w:color w:val="auto"/>
          <w:szCs w:val="21"/>
          <w:highlight w:val="none"/>
          <w:lang w:eastAsia="zh-TW"/>
        </w:rPr>
        <w:t>附着力需达到≥1.0MPa</w:t>
      </w:r>
    </w:p>
    <w:p>
      <w:pPr>
        <w:numPr>
          <w:ilvl w:val="0"/>
          <w:numId w:val="26"/>
        </w:numPr>
        <w:tabs>
          <w:tab w:val="left" w:pos="220"/>
        </w:tabs>
        <w:spacing w:line="360" w:lineRule="auto"/>
        <w:ind w:firstLine="400"/>
        <w:rPr>
          <w:rFonts w:ascii="宋体" w:hAnsi="宋体" w:cs="宋体"/>
          <w:color w:val="auto"/>
          <w:szCs w:val="21"/>
          <w:highlight w:val="none"/>
          <w:lang w:eastAsia="zh-TW"/>
        </w:rPr>
      </w:pPr>
      <w:r>
        <w:rPr>
          <w:rFonts w:hint="eastAsia" w:ascii="宋体" w:hAnsi="宋体" w:cs="宋体"/>
          <w:color w:val="auto"/>
          <w:szCs w:val="21"/>
          <w:highlight w:val="none"/>
          <w:lang w:eastAsia="zh-TW"/>
        </w:rPr>
        <w:t>稳定的色泽性：防紫外性能和面板颜色的稳定性能需达到AAMA2605标准。</w:t>
      </w:r>
    </w:p>
    <w:p>
      <w:pPr>
        <w:pStyle w:val="8"/>
        <w:rPr>
          <w:color w:val="auto"/>
          <w:highlight w:val="none"/>
        </w:rPr>
      </w:pPr>
    </w:p>
    <w:p>
      <w:pPr>
        <w:pStyle w:val="9"/>
        <w:numPr>
          <w:ilvl w:val="0"/>
          <w:numId w:val="17"/>
        </w:numPr>
        <w:adjustRightInd w:val="0"/>
        <w:snapToGrid w:val="0"/>
        <w:spacing w:before="0" w:after="0" w:line="360" w:lineRule="auto"/>
        <w:rPr>
          <w:rFonts w:ascii="宋体" w:hAnsi="宋体" w:cs="宋体"/>
          <w:color w:val="auto"/>
          <w:sz w:val="21"/>
          <w:szCs w:val="21"/>
          <w:highlight w:val="none"/>
        </w:rPr>
      </w:pPr>
      <w:r>
        <w:rPr>
          <w:rFonts w:hint="eastAsia" w:ascii="宋体" w:hAnsi="宋体" w:cs="宋体"/>
          <w:color w:val="auto"/>
          <w:sz w:val="21"/>
          <w:szCs w:val="21"/>
          <w:highlight w:val="none"/>
        </w:rPr>
        <w:t>其他：</w:t>
      </w:r>
    </w:p>
    <w:p>
      <w:pPr>
        <w:numPr>
          <w:ilvl w:val="0"/>
          <w:numId w:val="26"/>
        </w:numPr>
        <w:spacing w:line="360" w:lineRule="auto"/>
        <w:ind w:left="0" w:firstLine="400"/>
        <w:rPr>
          <w:rFonts w:ascii="宋体" w:hAnsi="宋体" w:cs="宋体"/>
          <w:color w:val="auto"/>
          <w:szCs w:val="21"/>
          <w:highlight w:val="none"/>
        </w:rPr>
      </w:pPr>
      <w:r>
        <w:rPr>
          <w:rFonts w:hint="eastAsia" w:ascii="宋体" w:hAnsi="宋体" w:cs="宋体"/>
          <w:color w:val="auto"/>
          <w:szCs w:val="21"/>
          <w:highlight w:val="none"/>
        </w:rPr>
        <w:t>各科室Ⅲ级洁净辅助用房可设外窗，但必须是双层密闭窗。</w:t>
      </w:r>
    </w:p>
    <w:p>
      <w:pPr>
        <w:numPr>
          <w:ilvl w:val="0"/>
          <w:numId w:val="26"/>
        </w:numPr>
        <w:spacing w:line="360" w:lineRule="auto"/>
        <w:ind w:left="0" w:firstLine="400"/>
        <w:rPr>
          <w:rFonts w:ascii="宋体" w:hAnsi="宋体" w:cs="宋体"/>
          <w:color w:val="auto"/>
          <w:szCs w:val="21"/>
          <w:highlight w:val="none"/>
        </w:rPr>
      </w:pPr>
      <w:r>
        <w:rPr>
          <w:rFonts w:hint="eastAsia" w:ascii="宋体" w:hAnsi="宋体" w:cs="宋体"/>
          <w:color w:val="auto"/>
          <w:szCs w:val="21"/>
          <w:highlight w:val="none"/>
        </w:rPr>
        <w:t>传递窗或传递柜的尺寸、数量，参见发标图纸。</w:t>
      </w:r>
    </w:p>
    <w:p>
      <w:pPr>
        <w:numPr>
          <w:ilvl w:val="0"/>
          <w:numId w:val="26"/>
        </w:numPr>
        <w:spacing w:line="360" w:lineRule="auto"/>
        <w:ind w:left="0" w:firstLine="400"/>
        <w:rPr>
          <w:rFonts w:ascii="宋体" w:hAnsi="宋体" w:cs="宋体"/>
          <w:color w:val="auto"/>
          <w:szCs w:val="21"/>
          <w:highlight w:val="none"/>
        </w:rPr>
      </w:pPr>
      <w:r>
        <w:rPr>
          <w:rFonts w:hint="eastAsia" w:ascii="宋体" w:hAnsi="宋体" w:cs="宋体"/>
          <w:color w:val="auto"/>
          <w:szCs w:val="21"/>
          <w:highlight w:val="none"/>
        </w:rPr>
        <w:t>招标范围内的外窗处，墙面为乳胶漆或PVC墙布时，窗台采用20mm厚人造石窗台板；墙面为瓷砖时，窗台及窗侧采用瓷砖铺贴+铝合金配套小圆弧型材过渡；其余墙面窗台及窗侧均采用1.2mm厚电解钢板收口。</w:t>
      </w:r>
    </w:p>
    <w:p>
      <w:pPr>
        <w:numPr>
          <w:ilvl w:val="0"/>
          <w:numId w:val="26"/>
        </w:numPr>
        <w:spacing w:line="360" w:lineRule="auto"/>
        <w:ind w:left="0" w:firstLine="400"/>
        <w:rPr>
          <w:rFonts w:ascii="宋体" w:hAnsi="宋体" w:cs="宋体"/>
          <w:color w:val="auto"/>
          <w:szCs w:val="21"/>
          <w:highlight w:val="none"/>
        </w:rPr>
      </w:pPr>
      <w:r>
        <w:rPr>
          <w:rFonts w:hint="eastAsia" w:ascii="宋体" w:hAnsi="宋体" w:cs="宋体"/>
          <w:color w:val="auto"/>
          <w:szCs w:val="21"/>
          <w:highlight w:val="none"/>
        </w:rPr>
        <w:t>本项目所有招标区域内电梯出口、管井门、消防栓、防火门处，均由中标方根据其房间功能及不同的装饰面材进行不同收口及加固做法，具体如下：当室内装饰面材为电解钢板时，招标区域内电梯出口、管井检修门、消防栓、防火门收口均采用电解钢板；当室内装饰面材为无机预涂板时，则以上区域收口均采用无机预涂板饰面，不锈钢包边；当室内装饰面材为彩钢板时，则以上区域收口均采用彩钢板饰面，铝角包边。</w:t>
      </w:r>
    </w:p>
    <w:p>
      <w:pPr>
        <w:pStyle w:val="9"/>
        <w:numPr>
          <w:ilvl w:val="0"/>
          <w:numId w:val="16"/>
        </w:numPr>
        <w:spacing w:before="0" w:after="0"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净化空调及自动化控制系统工程技术要求 </w:t>
      </w:r>
    </w:p>
    <w:p>
      <w:pPr>
        <w:pStyle w:val="9"/>
        <w:numPr>
          <w:ilvl w:val="0"/>
          <w:numId w:val="27"/>
        </w:numPr>
        <w:adjustRightInd w:val="0"/>
        <w:snapToGrid w:val="0"/>
        <w:spacing w:before="0" w:after="0" w:line="360" w:lineRule="auto"/>
        <w:rPr>
          <w:rFonts w:ascii="宋体" w:hAnsi="宋体" w:cs="宋体"/>
          <w:color w:val="auto"/>
          <w:sz w:val="21"/>
          <w:szCs w:val="21"/>
          <w:highlight w:val="none"/>
        </w:rPr>
      </w:pPr>
      <w:r>
        <w:rPr>
          <w:rFonts w:hint="eastAsia" w:ascii="宋体" w:hAnsi="宋体" w:cs="宋体"/>
          <w:color w:val="auto"/>
          <w:sz w:val="21"/>
          <w:szCs w:val="21"/>
          <w:highlight w:val="none"/>
        </w:rPr>
        <w:t>空调系统配置要求：</w:t>
      </w:r>
    </w:p>
    <w:p>
      <w:pPr>
        <w:numPr>
          <w:ilvl w:val="0"/>
          <w:numId w:val="28"/>
        </w:numPr>
        <w:spacing w:line="360" w:lineRule="auto"/>
        <w:rPr>
          <w:rFonts w:ascii="宋体" w:hAnsi="宋体" w:cs="宋体"/>
          <w:color w:val="auto"/>
          <w:szCs w:val="21"/>
          <w:highlight w:val="none"/>
        </w:rPr>
      </w:pPr>
      <w:r>
        <w:rPr>
          <w:rFonts w:hint="eastAsia" w:ascii="宋体" w:hAnsi="宋体" w:cs="宋体"/>
          <w:color w:val="auto"/>
          <w:szCs w:val="21"/>
          <w:highlight w:val="none"/>
        </w:rPr>
        <w:t>净化区域的空调系统采用带高效过滤器的送风装置的送风形式。</w:t>
      </w:r>
    </w:p>
    <w:p>
      <w:pPr>
        <w:numPr>
          <w:ilvl w:val="0"/>
          <w:numId w:val="28"/>
        </w:numPr>
        <w:spacing w:line="360" w:lineRule="auto"/>
        <w:ind w:left="0" w:firstLine="400"/>
        <w:rPr>
          <w:rFonts w:ascii="宋体" w:hAnsi="宋体" w:cs="宋体"/>
          <w:color w:val="auto"/>
          <w:szCs w:val="21"/>
          <w:highlight w:val="none"/>
        </w:rPr>
      </w:pPr>
      <w:r>
        <w:rPr>
          <w:rFonts w:hint="eastAsia" w:ascii="宋体" w:hAnsi="宋体" w:cs="宋体"/>
          <w:color w:val="auto"/>
          <w:szCs w:val="21"/>
          <w:highlight w:val="none"/>
        </w:rPr>
        <w:t>净化空调机组的空调水设计为四管制系统，由风冷热泵提供全年所需的冷水和热水。</w:t>
      </w:r>
    </w:p>
    <w:p>
      <w:pPr>
        <w:numPr>
          <w:ilvl w:val="0"/>
          <w:numId w:val="28"/>
        </w:numPr>
        <w:spacing w:line="360" w:lineRule="auto"/>
        <w:ind w:left="0" w:firstLine="400"/>
        <w:rPr>
          <w:rFonts w:ascii="宋体" w:hAnsi="宋体" w:cs="宋体"/>
          <w:color w:val="auto"/>
          <w:szCs w:val="21"/>
          <w:highlight w:val="none"/>
        </w:rPr>
      </w:pPr>
      <w:r>
        <w:rPr>
          <w:rFonts w:hint="eastAsia" w:ascii="宋体" w:hAnsi="宋体" w:cs="宋体"/>
          <w:color w:val="auto"/>
          <w:szCs w:val="21"/>
          <w:highlight w:val="none"/>
        </w:rPr>
        <w:t>每间手术室外均设置微压计，微压计位置安装在易于观察的位置。</w:t>
      </w:r>
    </w:p>
    <w:p>
      <w:pPr>
        <w:numPr>
          <w:ilvl w:val="0"/>
          <w:numId w:val="28"/>
        </w:numPr>
        <w:spacing w:line="360" w:lineRule="auto"/>
        <w:ind w:left="0" w:firstLine="400"/>
        <w:rPr>
          <w:rFonts w:ascii="宋体" w:hAnsi="宋体" w:cs="宋体"/>
          <w:color w:val="auto"/>
          <w:szCs w:val="21"/>
          <w:highlight w:val="none"/>
        </w:rPr>
      </w:pPr>
      <w:r>
        <w:rPr>
          <w:rFonts w:hint="eastAsia" w:ascii="宋体" w:hAnsi="宋体" w:cs="宋体"/>
          <w:color w:val="auto"/>
          <w:szCs w:val="21"/>
          <w:highlight w:val="none"/>
        </w:rPr>
        <w:t>净化空调机组采用变频机组，通过自控进行变频控制，保证每间房间和新风机组的风量达到要求。</w:t>
      </w:r>
    </w:p>
    <w:p>
      <w:pPr>
        <w:numPr>
          <w:ilvl w:val="0"/>
          <w:numId w:val="28"/>
        </w:numPr>
        <w:spacing w:line="360" w:lineRule="auto"/>
        <w:ind w:left="0" w:firstLine="400"/>
        <w:rPr>
          <w:rFonts w:ascii="宋体" w:hAnsi="宋体" w:cs="宋体"/>
          <w:color w:val="auto"/>
          <w:szCs w:val="21"/>
          <w:highlight w:val="none"/>
        </w:rPr>
      </w:pPr>
      <w:r>
        <w:rPr>
          <w:rFonts w:hint="eastAsia" w:ascii="宋体" w:hAnsi="宋体" w:cs="宋体"/>
          <w:color w:val="auto"/>
          <w:szCs w:val="21"/>
          <w:highlight w:val="none"/>
        </w:rPr>
        <w:t>各手术部、有异味产生、有污物的房间均采用机械排风装置，保证室内空气质量，维持室内正压或负压控制。</w:t>
      </w:r>
    </w:p>
    <w:p>
      <w:pPr>
        <w:numPr>
          <w:ilvl w:val="0"/>
          <w:numId w:val="28"/>
        </w:numPr>
        <w:spacing w:line="360" w:lineRule="auto"/>
        <w:rPr>
          <w:rFonts w:ascii="宋体" w:hAnsi="宋体" w:cs="宋体"/>
          <w:color w:val="auto"/>
          <w:szCs w:val="21"/>
          <w:highlight w:val="none"/>
        </w:rPr>
      </w:pPr>
      <w:r>
        <w:rPr>
          <w:rFonts w:hint="eastAsia" w:ascii="宋体" w:hAnsi="宋体" w:cs="宋体"/>
          <w:color w:val="auto"/>
          <w:szCs w:val="21"/>
          <w:highlight w:val="none"/>
        </w:rPr>
        <w:t>洁净用房的排风口百叶片应选用竖向可调叶片，并应设置中效过滤器。</w:t>
      </w:r>
    </w:p>
    <w:p>
      <w:pPr>
        <w:numPr>
          <w:ilvl w:val="0"/>
          <w:numId w:val="28"/>
        </w:numPr>
        <w:spacing w:line="360" w:lineRule="auto"/>
        <w:ind w:left="0" w:firstLine="400"/>
        <w:rPr>
          <w:rFonts w:ascii="宋体" w:hAnsi="宋体" w:cs="宋体"/>
          <w:color w:val="auto"/>
          <w:szCs w:val="21"/>
          <w:highlight w:val="none"/>
        </w:rPr>
      </w:pPr>
      <w:r>
        <w:rPr>
          <w:rFonts w:hint="eastAsia" w:ascii="宋体" w:hAnsi="宋体" w:cs="宋体"/>
          <w:color w:val="auto"/>
          <w:szCs w:val="21"/>
          <w:highlight w:val="none"/>
        </w:rPr>
        <w:t>净化空调系统至少设置三级空气过滤，各级过滤器应采用一次抛弃型。末级过滤器使用风量不宜大于其额定风量的70%。</w:t>
      </w:r>
    </w:p>
    <w:p>
      <w:pPr>
        <w:numPr>
          <w:ilvl w:val="0"/>
          <w:numId w:val="28"/>
        </w:numPr>
        <w:spacing w:line="360" w:lineRule="auto"/>
        <w:rPr>
          <w:rFonts w:ascii="宋体" w:hAnsi="宋体" w:cs="宋体"/>
          <w:color w:val="auto"/>
          <w:szCs w:val="21"/>
          <w:highlight w:val="none"/>
        </w:rPr>
      </w:pPr>
      <w:r>
        <w:rPr>
          <w:rFonts w:hint="eastAsia" w:ascii="宋体" w:hAnsi="宋体" w:cs="宋体"/>
          <w:color w:val="auto"/>
          <w:szCs w:val="21"/>
          <w:highlight w:val="none"/>
        </w:rPr>
        <w:t>应采用防雨性能良好的新风口，新风管路上应设过滤器、密闭风阀。</w:t>
      </w:r>
    </w:p>
    <w:p>
      <w:pPr>
        <w:numPr>
          <w:ilvl w:val="0"/>
          <w:numId w:val="28"/>
        </w:numPr>
        <w:spacing w:line="360" w:lineRule="auto"/>
        <w:ind w:left="0" w:firstLine="400"/>
        <w:rPr>
          <w:rFonts w:ascii="宋体" w:hAnsi="宋体" w:cs="宋体"/>
          <w:color w:val="auto"/>
          <w:szCs w:val="21"/>
          <w:highlight w:val="none"/>
        </w:rPr>
      </w:pPr>
      <w:r>
        <w:rPr>
          <w:rFonts w:hint="eastAsia" w:ascii="宋体" w:hAnsi="宋体" w:cs="宋体"/>
          <w:color w:val="auto"/>
          <w:szCs w:val="21"/>
          <w:highlight w:val="none"/>
        </w:rPr>
        <w:t>Ⅰ级手术室采用一拖一，Ⅱ级手术室采用一拖一，Ⅲ级手术室采用一拖二。Ⅲ级正负压手术室采用一台净化循环机组，送风静压箱送风，两侧下回风口回风的上送下回气流组织；其余的走廊及其辅房采用四台循环机组，高效送风口送风，上/下回风口回风的上送上/下回气流组织；手术部净化机组新风由三台净化新风机组集中处理后送入循环机组内。</w:t>
      </w:r>
    </w:p>
    <w:p>
      <w:pPr>
        <w:pStyle w:val="9"/>
        <w:numPr>
          <w:ilvl w:val="0"/>
          <w:numId w:val="27"/>
        </w:numPr>
        <w:adjustRightInd w:val="0"/>
        <w:snapToGrid w:val="0"/>
        <w:spacing w:before="0" w:after="0" w:line="360" w:lineRule="auto"/>
        <w:rPr>
          <w:rFonts w:ascii="宋体" w:hAnsi="宋体" w:cs="宋体"/>
          <w:color w:val="auto"/>
          <w:sz w:val="21"/>
          <w:szCs w:val="21"/>
          <w:highlight w:val="none"/>
        </w:rPr>
      </w:pPr>
      <w:r>
        <w:rPr>
          <w:rFonts w:hint="eastAsia" w:ascii="宋体" w:hAnsi="宋体" w:cs="宋体"/>
          <w:color w:val="auto"/>
          <w:sz w:val="21"/>
          <w:szCs w:val="21"/>
          <w:highlight w:val="none"/>
        </w:rPr>
        <w:t>净化空调自动化控制系统设计要求</w:t>
      </w:r>
    </w:p>
    <w:p>
      <w:pPr>
        <w:numPr>
          <w:ilvl w:val="0"/>
          <w:numId w:val="29"/>
        </w:numPr>
        <w:spacing w:line="360" w:lineRule="auto"/>
        <w:ind w:left="0" w:firstLine="400"/>
        <w:rPr>
          <w:rFonts w:ascii="宋体" w:hAnsi="宋体" w:cs="宋体"/>
          <w:color w:val="auto"/>
          <w:szCs w:val="21"/>
          <w:highlight w:val="none"/>
        </w:rPr>
      </w:pPr>
      <w:r>
        <w:rPr>
          <w:rFonts w:hint="eastAsia" w:ascii="宋体" w:hAnsi="宋体" w:cs="宋体"/>
          <w:color w:val="auto"/>
          <w:szCs w:val="21"/>
          <w:highlight w:val="none"/>
        </w:rPr>
        <w:t>整体要求：采用著名品牌多功能控制器、温、湿度传感器，压差开关、风阀执行器、电动比例积分三通调节阀、变频器等对系统的风量及温湿度进行控制。</w:t>
      </w:r>
    </w:p>
    <w:p>
      <w:pPr>
        <w:numPr>
          <w:ilvl w:val="0"/>
          <w:numId w:val="29"/>
        </w:numPr>
        <w:spacing w:line="360" w:lineRule="auto"/>
        <w:ind w:left="0" w:firstLine="400"/>
        <w:rPr>
          <w:rFonts w:ascii="宋体" w:hAnsi="宋体" w:cs="宋体"/>
          <w:color w:val="auto"/>
          <w:szCs w:val="21"/>
          <w:highlight w:val="none"/>
        </w:rPr>
      </w:pPr>
      <w:r>
        <w:rPr>
          <w:rFonts w:hint="eastAsia" w:ascii="宋体" w:hAnsi="宋体" w:cs="宋体"/>
          <w:color w:val="auto"/>
          <w:szCs w:val="21"/>
          <w:highlight w:val="none"/>
        </w:rPr>
        <w:t>净化循环机组（含自取新风机组）每个系统设置一个单联空调控制面板，用于手术室的机组控制面板集成于手术室情报面板中。集中净化新风机组不设置控制面板，由循环机组联动控制。净化空调控制系统的控制必需满足机房本地控制和手术室控制的功能需求。</w:t>
      </w:r>
    </w:p>
    <w:p>
      <w:pPr>
        <w:numPr>
          <w:ilvl w:val="0"/>
          <w:numId w:val="29"/>
        </w:numPr>
        <w:spacing w:line="360" w:lineRule="auto"/>
        <w:ind w:left="0" w:firstLine="400"/>
        <w:rPr>
          <w:rFonts w:ascii="宋体" w:hAnsi="宋体" w:cs="宋体"/>
          <w:color w:val="auto"/>
          <w:szCs w:val="21"/>
          <w:highlight w:val="none"/>
        </w:rPr>
      </w:pPr>
      <w:r>
        <w:rPr>
          <w:rFonts w:hint="eastAsia" w:ascii="宋体" w:hAnsi="宋体" w:cs="宋体"/>
          <w:color w:val="auto"/>
          <w:szCs w:val="21"/>
          <w:highlight w:val="none"/>
        </w:rPr>
        <w:t>手术室内空调控制面板应可以实现以下的控制功能：</w:t>
      </w:r>
    </w:p>
    <w:p>
      <w:pPr>
        <w:pStyle w:val="49"/>
        <w:numPr>
          <w:ilvl w:val="0"/>
          <w:numId w:val="30"/>
        </w:numPr>
        <w:spacing w:line="360" w:lineRule="auto"/>
        <w:ind w:firstLineChars="0"/>
        <w:rPr>
          <w:rFonts w:ascii="宋体" w:hAnsi="宋体" w:cs="宋体"/>
          <w:color w:val="auto"/>
          <w:szCs w:val="21"/>
          <w:highlight w:val="none"/>
        </w:rPr>
      </w:pPr>
      <w:r>
        <w:rPr>
          <w:rFonts w:hint="eastAsia" w:ascii="宋体" w:hAnsi="宋体" w:cs="宋体"/>
          <w:color w:val="auto"/>
          <w:szCs w:val="21"/>
          <w:highlight w:val="none"/>
        </w:rPr>
        <w:t>机组启、停；</w:t>
      </w:r>
    </w:p>
    <w:p>
      <w:pPr>
        <w:pStyle w:val="49"/>
        <w:numPr>
          <w:ilvl w:val="0"/>
          <w:numId w:val="30"/>
        </w:numPr>
        <w:spacing w:line="360" w:lineRule="auto"/>
        <w:ind w:firstLineChars="0"/>
        <w:rPr>
          <w:rFonts w:ascii="宋体" w:hAnsi="宋体" w:cs="宋体"/>
          <w:color w:val="auto"/>
          <w:szCs w:val="21"/>
          <w:highlight w:val="none"/>
        </w:rPr>
      </w:pPr>
      <w:r>
        <w:rPr>
          <w:rFonts w:hint="eastAsia" w:ascii="宋体" w:hAnsi="宋体" w:cs="宋体"/>
          <w:color w:val="auto"/>
          <w:szCs w:val="21"/>
          <w:highlight w:val="none"/>
        </w:rPr>
        <w:t>温度的设定；</w:t>
      </w:r>
    </w:p>
    <w:p>
      <w:pPr>
        <w:pStyle w:val="49"/>
        <w:numPr>
          <w:ilvl w:val="0"/>
          <w:numId w:val="30"/>
        </w:numPr>
        <w:spacing w:line="360" w:lineRule="auto"/>
        <w:ind w:firstLineChars="0"/>
        <w:rPr>
          <w:rFonts w:ascii="宋体" w:hAnsi="宋体" w:cs="宋体"/>
          <w:color w:val="auto"/>
          <w:szCs w:val="21"/>
          <w:highlight w:val="none"/>
        </w:rPr>
      </w:pPr>
      <w:r>
        <w:rPr>
          <w:rFonts w:hint="eastAsia" w:ascii="宋体" w:hAnsi="宋体" w:cs="宋体"/>
          <w:color w:val="auto"/>
          <w:szCs w:val="21"/>
          <w:highlight w:val="none"/>
        </w:rPr>
        <w:t>室内温、湿度的显示；</w:t>
      </w:r>
    </w:p>
    <w:p>
      <w:pPr>
        <w:pStyle w:val="49"/>
        <w:numPr>
          <w:ilvl w:val="0"/>
          <w:numId w:val="30"/>
        </w:numPr>
        <w:spacing w:line="360" w:lineRule="auto"/>
        <w:ind w:firstLineChars="0"/>
        <w:rPr>
          <w:rFonts w:ascii="宋体" w:hAnsi="宋体" w:cs="宋体"/>
          <w:color w:val="auto"/>
          <w:szCs w:val="21"/>
          <w:highlight w:val="none"/>
        </w:rPr>
      </w:pPr>
      <w:r>
        <w:rPr>
          <w:rFonts w:hint="eastAsia" w:ascii="宋体" w:hAnsi="宋体" w:cs="宋体"/>
          <w:color w:val="auto"/>
          <w:szCs w:val="21"/>
          <w:highlight w:val="none"/>
        </w:rPr>
        <w:t>机组值班状态指示；</w:t>
      </w:r>
    </w:p>
    <w:p>
      <w:pPr>
        <w:pStyle w:val="49"/>
        <w:numPr>
          <w:ilvl w:val="0"/>
          <w:numId w:val="30"/>
        </w:numPr>
        <w:spacing w:line="360" w:lineRule="auto"/>
        <w:ind w:firstLineChars="0"/>
        <w:rPr>
          <w:rFonts w:ascii="宋体" w:hAnsi="宋体" w:cs="宋体"/>
          <w:color w:val="auto"/>
          <w:szCs w:val="21"/>
          <w:highlight w:val="none"/>
        </w:rPr>
      </w:pPr>
      <w:r>
        <w:rPr>
          <w:rFonts w:hint="eastAsia" w:ascii="宋体" w:hAnsi="宋体" w:cs="宋体"/>
          <w:color w:val="auto"/>
          <w:szCs w:val="21"/>
          <w:highlight w:val="none"/>
        </w:rPr>
        <w:t>机组运行指示；</w:t>
      </w:r>
    </w:p>
    <w:p>
      <w:pPr>
        <w:pStyle w:val="49"/>
        <w:numPr>
          <w:ilvl w:val="0"/>
          <w:numId w:val="30"/>
        </w:numPr>
        <w:spacing w:line="360" w:lineRule="auto"/>
        <w:ind w:firstLineChars="0"/>
        <w:rPr>
          <w:rFonts w:ascii="宋体" w:hAnsi="宋体" w:cs="宋体"/>
          <w:color w:val="auto"/>
          <w:szCs w:val="21"/>
          <w:highlight w:val="none"/>
        </w:rPr>
      </w:pPr>
      <w:r>
        <w:rPr>
          <w:rFonts w:hint="eastAsia" w:ascii="宋体" w:hAnsi="宋体" w:cs="宋体"/>
          <w:color w:val="auto"/>
          <w:szCs w:val="21"/>
          <w:highlight w:val="none"/>
        </w:rPr>
        <w:t>机组故障指示；</w:t>
      </w:r>
    </w:p>
    <w:p>
      <w:pPr>
        <w:pStyle w:val="49"/>
        <w:numPr>
          <w:ilvl w:val="0"/>
          <w:numId w:val="30"/>
        </w:numPr>
        <w:spacing w:line="360" w:lineRule="auto"/>
        <w:ind w:firstLineChars="0"/>
        <w:rPr>
          <w:rFonts w:ascii="宋体" w:hAnsi="宋体" w:cs="宋体"/>
          <w:color w:val="auto"/>
          <w:szCs w:val="21"/>
          <w:highlight w:val="none"/>
        </w:rPr>
      </w:pPr>
      <w:r>
        <w:rPr>
          <w:rFonts w:hint="eastAsia" w:ascii="宋体" w:hAnsi="宋体" w:cs="宋体"/>
          <w:color w:val="auto"/>
          <w:szCs w:val="21"/>
          <w:highlight w:val="none"/>
        </w:rPr>
        <w:t>室内外压差显示；</w:t>
      </w:r>
    </w:p>
    <w:p>
      <w:pPr>
        <w:pStyle w:val="49"/>
        <w:numPr>
          <w:ilvl w:val="0"/>
          <w:numId w:val="30"/>
        </w:numPr>
        <w:spacing w:line="360" w:lineRule="auto"/>
        <w:ind w:firstLineChars="0"/>
        <w:rPr>
          <w:rFonts w:ascii="宋体" w:hAnsi="宋体" w:cs="宋体"/>
          <w:color w:val="auto"/>
          <w:szCs w:val="21"/>
          <w:highlight w:val="none"/>
        </w:rPr>
      </w:pPr>
      <w:r>
        <w:rPr>
          <w:rFonts w:hint="eastAsia" w:ascii="宋体" w:hAnsi="宋体" w:cs="宋体"/>
          <w:color w:val="auto"/>
          <w:szCs w:val="21"/>
          <w:highlight w:val="none"/>
        </w:rPr>
        <w:t>带通讯模块，提供通用协议，信息可供外部调用。</w:t>
      </w:r>
    </w:p>
    <w:p>
      <w:pPr>
        <w:numPr>
          <w:ilvl w:val="0"/>
          <w:numId w:val="29"/>
        </w:numPr>
        <w:spacing w:line="360" w:lineRule="auto"/>
        <w:ind w:left="0" w:firstLine="400"/>
        <w:rPr>
          <w:rFonts w:ascii="宋体" w:hAnsi="宋体" w:cs="宋体"/>
          <w:color w:val="auto"/>
          <w:szCs w:val="21"/>
          <w:highlight w:val="none"/>
        </w:rPr>
      </w:pPr>
      <w:r>
        <w:rPr>
          <w:rFonts w:hint="eastAsia" w:ascii="宋体" w:hAnsi="宋体" w:cs="宋体"/>
          <w:color w:val="auto"/>
          <w:szCs w:val="21"/>
          <w:highlight w:val="none"/>
        </w:rPr>
        <w:t>机房控制柜内还应可以实现以下的控制功能：</w:t>
      </w:r>
    </w:p>
    <w:p>
      <w:pPr>
        <w:pStyle w:val="49"/>
        <w:numPr>
          <w:ilvl w:val="0"/>
          <w:numId w:val="31"/>
        </w:numPr>
        <w:spacing w:line="360" w:lineRule="auto"/>
        <w:ind w:firstLineChars="0"/>
        <w:rPr>
          <w:rFonts w:ascii="宋体" w:hAnsi="宋体" w:cs="宋体"/>
          <w:color w:val="auto"/>
          <w:szCs w:val="21"/>
          <w:highlight w:val="none"/>
        </w:rPr>
      </w:pPr>
      <w:r>
        <w:rPr>
          <w:rFonts w:hint="eastAsia" w:ascii="宋体" w:hAnsi="宋体" w:cs="宋体"/>
          <w:color w:val="auto"/>
          <w:szCs w:val="21"/>
          <w:highlight w:val="none"/>
        </w:rPr>
        <w:t>室内控制面板实现的全部功能；</w:t>
      </w:r>
    </w:p>
    <w:p>
      <w:pPr>
        <w:pStyle w:val="49"/>
        <w:numPr>
          <w:ilvl w:val="0"/>
          <w:numId w:val="31"/>
        </w:numPr>
        <w:spacing w:line="360" w:lineRule="auto"/>
        <w:ind w:firstLineChars="0"/>
        <w:rPr>
          <w:rFonts w:ascii="宋体" w:hAnsi="宋体" w:cs="宋体"/>
          <w:color w:val="auto"/>
          <w:szCs w:val="21"/>
          <w:highlight w:val="none"/>
        </w:rPr>
      </w:pPr>
      <w:r>
        <w:rPr>
          <w:rFonts w:hint="eastAsia" w:ascii="宋体" w:hAnsi="宋体" w:cs="宋体"/>
          <w:color w:val="auto"/>
          <w:szCs w:val="21"/>
          <w:highlight w:val="none"/>
        </w:rPr>
        <w:t>风机运行频率显示；</w:t>
      </w:r>
    </w:p>
    <w:p>
      <w:pPr>
        <w:pStyle w:val="49"/>
        <w:numPr>
          <w:ilvl w:val="0"/>
          <w:numId w:val="31"/>
        </w:numPr>
        <w:spacing w:line="360" w:lineRule="auto"/>
        <w:ind w:firstLineChars="0"/>
        <w:rPr>
          <w:rFonts w:ascii="宋体" w:hAnsi="宋体" w:cs="宋体"/>
          <w:color w:val="auto"/>
          <w:szCs w:val="21"/>
          <w:highlight w:val="none"/>
        </w:rPr>
      </w:pPr>
      <w:r>
        <w:rPr>
          <w:rFonts w:hint="eastAsia" w:ascii="宋体" w:hAnsi="宋体" w:cs="宋体"/>
          <w:color w:val="auto"/>
          <w:szCs w:val="21"/>
          <w:highlight w:val="none"/>
        </w:rPr>
        <w:t>中效过滤网堵塞报警、缺风保护报警、风机运行情况及过载报警、手术室排风机运行状态显示、加湿器运行状态和故障显示等；</w:t>
      </w:r>
    </w:p>
    <w:p>
      <w:pPr>
        <w:pStyle w:val="49"/>
        <w:numPr>
          <w:ilvl w:val="0"/>
          <w:numId w:val="31"/>
        </w:numPr>
        <w:spacing w:line="360" w:lineRule="auto"/>
        <w:ind w:firstLineChars="0"/>
        <w:rPr>
          <w:rFonts w:ascii="宋体" w:hAnsi="宋体" w:cs="宋体"/>
          <w:color w:val="auto"/>
          <w:szCs w:val="21"/>
          <w:highlight w:val="none"/>
        </w:rPr>
      </w:pPr>
      <w:r>
        <w:rPr>
          <w:rFonts w:hint="eastAsia" w:ascii="宋体" w:hAnsi="宋体" w:cs="宋体"/>
          <w:color w:val="auto"/>
          <w:szCs w:val="21"/>
          <w:highlight w:val="none"/>
        </w:rPr>
        <w:t>手、自动风量调频切换；</w:t>
      </w:r>
    </w:p>
    <w:p>
      <w:pPr>
        <w:pStyle w:val="49"/>
        <w:numPr>
          <w:ilvl w:val="0"/>
          <w:numId w:val="31"/>
        </w:numPr>
        <w:spacing w:line="360" w:lineRule="auto"/>
        <w:ind w:firstLineChars="0"/>
        <w:rPr>
          <w:rFonts w:ascii="宋体" w:hAnsi="宋体" w:cs="宋体"/>
          <w:color w:val="auto"/>
          <w:szCs w:val="21"/>
          <w:highlight w:val="none"/>
        </w:rPr>
      </w:pPr>
      <w:r>
        <w:rPr>
          <w:rFonts w:hint="eastAsia" w:ascii="宋体" w:hAnsi="宋体" w:cs="宋体"/>
          <w:color w:val="auto"/>
          <w:szCs w:val="21"/>
          <w:highlight w:val="none"/>
        </w:rPr>
        <w:t>冷热水调节阀、加湿器和电加热器工作状态；</w:t>
      </w:r>
    </w:p>
    <w:p>
      <w:pPr>
        <w:pStyle w:val="49"/>
        <w:numPr>
          <w:ilvl w:val="0"/>
          <w:numId w:val="31"/>
        </w:numPr>
        <w:spacing w:line="360" w:lineRule="auto"/>
        <w:ind w:firstLineChars="0"/>
        <w:rPr>
          <w:rFonts w:ascii="宋体" w:hAnsi="宋体" w:cs="宋体"/>
          <w:color w:val="auto"/>
          <w:szCs w:val="21"/>
          <w:highlight w:val="none"/>
        </w:rPr>
      </w:pPr>
      <w:r>
        <w:rPr>
          <w:rFonts w:hint="eastAsia" w:ascii="宋体" w:hAnsi="宋体" w:cs="宋体"/>
          <w:color w:val="auto"/>
          <w:szCs w:val="21"/>
          <w:highlight w:val="none"/>
        </w:rPr>
        <w:t>试灯和功能切换；</w:t>
      </w:r>
    </w:p>
    <w:p>
      <w:pPr>
        <w:pStyle w:val="49"/>
        <w:numPr>
          <w:ilvl w:val="0"/>
          <w:numId w:val="31"/>
        </w:numPr>
        <w:spacing w:line="360" w:lineRule="auto"/>
        <w:ind w:firstLineChars="0"/>
        <w:rPr>
          <w:rFonts w:ascii="宋体" w:hAnsi="宋体" w:cs="宋体"/>
          <w:color w:val="auto"/>
          <w:szCs w:val="21"/>
          <w:highlight w:val="none"/>
        </w:rPr>
      </w:pPr>
      <w:r>
        <w:rPr>
          <w:rFonts w:hint="eastAsia" w:ascii="宋体" w:hAnsi="宋体" w:cs="宋体"/>
          <w:color w:val="auto"/>
          <w:szCs w:val="21"/>
          <w:highlight w:val="none"/>
        </w:rPr>
        <w:t>各种控制参数（室内温、湿度；变频器频率等）的设定和修改。</w:t>
      </w:r>
    </w:p>
    <w:p>
      <w:pPr>
        <w:pStyle w:val="9"/>
        <w:numPr>
          <w:ilvl w:val="0"/>
          <w:numId w:val="27"/>
        </w:numPr>
        <w:adjustRightInd w:val="0"/>
        <w:snapToGrid w:val="0"/>
        <w:spacing w:before="0" w:after="0" w:line="360" w:lineRule="auto"/>
        <w:rPr>
          <w:rFonts w:ascii="宋体" w:hAnsi="宋体" w:cs="宋体"/>
          <w:color w:val="auto"/>
          <w:sz w:val="21"/>
          <w:szCs w:val="21"/>
          <w:highlight w:val="none"/>
        </w:rPr>
      </w:pPr>
      <w:r>
        <w:rPr>
          <w:rFonts w:hint="eastAsia" w:ascii="宋体" w:hAnsi="宋体" w:cs="宋体"/>
          <w:color w:val="auto"/>
          <w:sz w:val="21"/>
          <w:szCs w:val="21"/>
          <w:highlight w:val="none"/>
        </w:rPr>
        <w:t>空调机组技术参数：</w:t>
      </w:r>
    </w:p>
    <w:p>
      <w:pPr>
        <w:numPr>
          <w:ilvl w:val="0"/>
          <w:numId w:val="32"/>
        </w:numPr>
        <w:spacing w:line="360" w:lineRule="auto"/>
        <w:rPr>
          <w:rFonts w:ascii="宋体" w:hAnsi="宋体" w:cs="宋体"/>
          <w:bCs/>
          <w:color w:val="auto"/>
          <w:szCs w:val="21"/>
          <w:highlight w:val="none"/>
        </w:rPr>
      </w:pPr>
      <w:r>
        <w:rPr>
          <w:rFonts w:hint="eastAsia" w:ascii="宋体" w:hAnsi="宋体" w:cs="宋体"/>
          <w:bCs/>
          <w:color w:val="auto"/>
          <w:szCs w:val="21"/>
          <w:highlight w:val="none"/>
        </w:rPr>
        <w:t>要求机组整体配备优良，质量好结构合理，性能良好稳定性高。机组箱体应采用可拆装的框架结构。机组框架最低要求为铝合金材质，可采用防冷桥效果更好的强化玻璃纤维（</w:t>
      </w:r>
      <w:r>
        <w:rPr>
          <w:rFonts w:ascii="宋体" w:hAnsi="宋体" w:cs="宋体"/>
          <w:bCs/>
          <w:color w:val="auto"/>
          <w:szCs w:val="21"/>
          <w:highlight w:val="none"/>
        </w:rPr>
        <w:t>GFK）材质。在±1000pa压力条件下，机组变形量≤2.3mm/m，机组强度达到欧洲最高标准D1级别。机组采用内外板双层结构，内、外层钢板均应耐腐蚀，抗氧化，采用最低要求为镀锌铝合金，可采用更优异的镀锌钢板+静电粉末喷涂材质，单层钢板厚度不小于0.5mm。中间保温层为硬质聚氨酯（PU）直接发泡，厚度≥50mm</w:t>
      </w:r>
      <w:r>
        <w:rPr>
          <w:rFonts w:hint="eastAsia" w:ascii="宋体" w:hAnsi="宋体" w:cs="宋体"/>
          <w:bCs/>
          <w:color w:val="auto"/>
          <w:szCs w:val="21"/>
          <w:highlight w:val="none"/>
        </w:rPr>
        <w:t>。</w:t>
      </w:r>
    </w:p>
    <w:p>
      <w:pPr>
        <w:numPr>
          <w:ilvl w:val="0"/>
          <w:numId w:val="32"/>
        </w:numPr>
        <w:spacing w:line="360" w:lineRule="auto"/>
        <w:rPr>
          <w:rFonts w:ascii="宋体" w:hAnsi="宋体" w:cs="宋体"/>
          <w:bCs/>
          <w:color w:val="auto"/>
          <w:szCs w:val="21"/>
          <w:highlight w:val="none"/>
        </w:rPr>
      </w:pPr>
      <w:r>
        <w:rPr>
          <w:rFonts w:hint="eastAsia" w:ascii="宋体" w:hAnsi="宋体" w:cs="宋体"/>
          <w:bCs/>
          <w:color w:val="auto"/>
          <w:szCs w:val="21"/>
          <w:highlight w:val="none"/>
        </w:rPr>
        <w:t>为保证换热器的性能，制造商有完整的换热器生产线，要求所有表冷器在组装前逐台进行检漏试验，试验压力不小于2.5MP，以保证换热性能及使用寿命。</w:t>
      </w:r>
    </w:p>
    <w:p>
      <w:pPr>
        <w:numPr>
          <w:ilvl w:val="0"/>
          <w:numId w:val="32"/>
        </w:numPr>
        <w:spacing w:line="360" w:lineRule="auto"/>
        <w:rPr>
          <w:rFonts w:ascii="宋体" w:hAnsi="宋体" w:cs="宋体"/>
          <w:bCs/>
          <w:color w:val="auto"/>
          <w:szCs w:val="21"/>
          <w:highlight w:val="none"/>
        </w:rPr>
      </w:pPr>
      <w:r>
        <w:rPr>
          <w:rFonts w:hint="eastAsia" w:ascii="宋体" w:hAnsi="宋体" w:cs="宋体"/>
          <w:bCs/>
          <w:color w:val="auto"/>
          <w:szCs w:val="21"/>
          <w:highlight w:val="none"/>
        </w:rPr>
        <w:t>箱体的框架、箱板均应有良好的保温性能，其传热系数不大于0.9w/(㎡*K)，达到欧洲高标准T2级。</w:t>
      </w:r>
    </w:p>
    <w:p>
      <w:pPr>
        <w:numPr>
          <w:ilvl w:val="0"/>
          <w:numId w:val="32"/>
        </w:numPr>
        <w:spacing w:line="360" w:lineRule="auto"/>
        <w:rPr>
          <w:rFonts w:ascii="宋体" w:hAnsi="宋体" w:cs="宋体"/>
          <w:bCs/>
          <w:color w:val="auto"/>
          <w:szCs w:val="21"/>
          <w:highlight w:val="none"/>
        </w:rPr>
      </w:pPr>
      <w:r>
        <w:rPr>
          <w:rFonts w:hint="eastAsia" w:ascii="宋体" w:hAnsi="宋体" w:cs="宋体"/>
          <w:bCs/>
          <w:color w:val="auto"/>
          <w:szCs w:val="21"/>
          <w:highlight w:val="none"/>
        </w:rPr>
        <w:t>机组的保温护板与框架之间、各功能段之间在拼装时，应采用不含硅的密封胶密封，具有区别于常规含硅密封胶的性能，不易老化变形，以保证整个机组的密封性。箱体的漏风率在1500pa条件下控制在不超过0.15%，在1000pa条件下控制在不超过0.09%，在-400pa条件下漏风量≤0.1 L/(s*m²)，达到欧洲高标准L1级；在700pa条件下漏风量≤0.12 L/(s*m²)，达到欧洲高标准L1级。</w:t>
      </w:r>
    </w:p>
    <w:p>
      <w:pPr>
        <w:numPr>
          <w:ilvl w:val="0"/>
          <w:numId w:val="32"/>
        </w:numPr>
        <w:spacing w:line="360" w:lineRule="auto"/>
        <w:rPr>
          <w:rFonts w:ascii="宋体" w:hAnsi="宋体" w:cs="宋体"/>
          <w:bCs/>
          <w:color w:val="auto"/>
          <w:szCs w:val="21"/>
          <w:highlight w:val="none"/>
        </w:rPr>
      </w:pPr>
      <w:r>
        <w:rPr>
          <w:rFonts w:hint="eastAsia" w:ascii="宋体" w:hAnsi="宋体" w:cs="宋体"/>
          <w:bCs/>
          <w:color w:val="auto"/>
          <w:szCs w:val="21"/>
          <w:highlight w:val="none"/>
        </w:rPr>
        <w:t>洁净空调机组在+400pa条件下过滤器旁通漏风量≤0.3%，达到欧洲高标准F9级；在-400pa条件下过滤器旁通漏风量≤0.42%，达到欧洲高标准F9级；。</w:t>
      </w:r>
    </w:p>
    <w:p>
      <w:pPr>
        <w:numPr>
          <w:ilvl w:val="0"/>
          <w:numId w:val="32"/>
        </w:numPr>
        <w:spacing w:line="360" w:lineRule="auto"/>
        <w:rPr>
          <w:rFonts w:ascii="宋体" w:hAnsi="宋体" w:cs="宋体"/>
          <w:bCs/>
          <w:color w:val="auto"/>
          <w:szCs w:val="21"/>
          <w:highlight w:val="none"/>
        </w:rPr>
      </w:pPr>
      <w:r>
        <w:rPr>
          <w:rFonts w:hint="eastAsia" w:ascii="宋体" w:hAnsi="宋体" w:cs="宋体"/>
          <w:bCs/>
          <w:color w:val="auto"/>
          <w:szCs w:val="21"/>
          <w:highlight w:val="none"/>
        </w:rPr>
        <w:t>医用洁净空调机组的接水盘采用抗菌型不锈钢材质，具有对大肠杆菌和金黄色葡萄菌的抗菌性能，投标书中应提供相关证明文件并加盖公章。</w:t>
      </w:r>
    </w:p>
    <w:p>
      <w:pPr>
        <w:numPr>
          <w:ilvl w:val="0"/>
          <w:numId w:val="32"/>
        </w:numPr>
        <w:spacing w:line="360" w:lineRule="auto"/>
        <w:rPr>
          <w:rFonts w:ascii="宋体" w:hAnsi="宋体" w:cs="宋体"/>
          <w:bCs/>
          <w:color w:val="auto"/>
          <w:szCs w:val="21"/>
          <w:highlight w:val="none"/>
        </w:rPr>
      </w:pPr>
      <w:r>
        <w:rPr>
          <w:rFonts w:hint="eastAsia" w:ascii="宋体" w:hAnsi="宋体" w:cs="宋体"/>
          <w:bCs/>
          <w:color w:val="auto"/>
          <w:szCs w:val="21"/>
          <w:highlight w:val="none"/>
        </w:rPr>
        <w:t>生产制造商新风机组需配置单元式无极调节的深度除湿装置，且本制造商应有经过国家认可的，具有单元式空调能效标识能源效率检测实验室认证的焓差实验室。。</w:t>
      </w:r>
    </w:p>
    <w:p>
      <w:pPr>
        <w:numPr>
          <w:ilvl w:val="0"/>
          <w:numId w:val="32"/>
        </w:numPr>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新风机组配置直接蒸发式深度除湿装置，供货商必须同时具有洁净空气调节机组和风冷单元式空调机组的生产许可证； </w:t>
      </w:r>
    </w:p>
    <w:p>
      <w:pPr>
        <w:numPr>
          <w:ilvl w:val="0"/>
          <w:numId w:val="32"/>
        </w:numPr>
        <w:spacing w:line="360" w:lineRule="auto"/>
        <w:rPr>
          <w:rFonts w:ascii="宋体" w:hAnsi="宋体" w:cs="宋体"/>
          <w:bCs/>
          <w:color w:val="auto"/>
          <w:szCs w:val="21"/>
          <w:highlight w:val="none"/>
        </w:rPr>
      </w:pPr>
      <w:r>
        <w:rPr>
          <w:rFonts w:hint="eastAsia" w:ascii="宋体" w:hAnsi="宋体" w:cs="宋体"/>
          <w:bCs/>
          <w:color w:val="auto"/>
          <w:szCs w:val="21"/>
          <w:highlight w:val="none"/>
        </w:rPr>
        <w:t>为保证机组与自控系统配合完美，运行稳定，空调生产商应有生产自动控制系统的能力，自控系统不得采用OEM产品。</w:t>
      </w:r>
    </w:p>
    <w:p>
      <w:pPr>
        <w:numPr>
          <w:ilvl w:val="0"/>
          <w:numId w:val="32"/>
        </w:numPr>
        <w:spacing w:line="360" w:lineRule="auto"/>
        <w:rPr>
          <w:rFonts w:ascii="宋体" w:hAnsi="宋体" w:cs="宋体"/>
          <w:bCs/>
          <w:color w:val="auto"/>
          <w:szCs w:val="21"/>
          <w:highlight w:val="none"/>
        </w:rPr>
      </w:pPr>
      <w:r>
        <w:rPr>
          <w:rFonts w:hint="eastAsia" w:ascii="宋体" w:hAnsi="宋体" w:cs="宋体"/>
          <w:bCs/>
          <w:color w:val="auto"/>
          <w:szCs w:val="21"/>
          <w:highlight w:val="none"/>
        </w:rPr>
        <w:t>洁净空气处理机组应通过抗菌试验测试，其中空调机组内侧箱板具有对大肠埃希氏菌和金黄色葡萄球菌的抗菌性能，投标书中应提供相关证明文件并加盖公章。</w:t>
      </w:r>
    </w:p>
    <w:p>
      <w:pPr>
        <w:numPr>
          <w:ilvl w:val="0"/>
          <w:numId w:val="32"/>
        </w:numPr>
        <w:spacing w:line="360" w:lineRule="auto"/>
        <w:rPr>
          <w:rFonts w:ascii="宋体" w:hAnsi="宋体" w:cs="宋体"/>
          <w:bCs/>
          <w:color w:val="auto"/>
          <w:szCs w:val="21"/>
          <w:highlight w:val="none"/>
        </w:rPr>
      </w:pPr>
      <w:r>
        <w:rPr>
          <w:rFonts w:hint="eastAsia" w:ascii="宋体" w:hAnsi="宋体" w:cs="宋体"/>
          <w:bCs/>
          <w:color w:val="auto"/>
          <w:szCs w:val="21"/>
          <w:highlight w:val="none"/>
        </w:rPr>
        <w:t>组合式净化空调机组稳定运行≥4小时无凝露现象。</w:t>
      </w:r>
    </w:p>
    <w:p>
      <w:pPr>
        <w:numPr>
          <w:ilvl w:val="0"/>
          <w:numId w:val="32"/>
        </w:numPr>
        <w:spacing w:line="360" w:lineRule="auto"/>
        <w:rPr>
          <w:rFonts w:ascii="宋体" w:hAnsi="宋体" w:cs="宋体"/>
          <w:bCs/>
          <w:color w:val="auto"/>
          <w:szCs w:val="21"/>
          <w:highlight w:val="none"/>
        </w:rPr>
      </w:pPr>
      <w:r>
        <w:rPr>
          <w:rFonts w:hint="eastAsia" w:ascii="宋体" w:hAnsi="宋体" w:cs="宋体"/>
          <w:bCs/>
          <w:color w:val="auto"/>
          <w:szCs w:val="21"/>
          <w:highlight w:val="none"/>
        </w:rPr>
        <w:t>空调机组结构用密封胶具有区别于常规含硅密封胶的性能，不易老化变形，以保证整个机组的密封性。</w:t>
      </w:r>
    </w:p>
    <w:p>
      <w:pPr>
        <w:pStyle w:val="9"/>
        <w:numPr>
          <w:ilvl w:val="0"/>
          <w:numId w:val="27"/>
        </w:numPr>
        <w:adjustRightInd w:val="0"/>
        <w:snapToGrid w:val="0"/>
        <w:spacing w:before="0" w:after="0" w:line="360" w:lineRule="auto"/>
        <w:rPr>
          <w:rFonts w:ascii="宋体" w:hAnsi="宋体" w:cs="宋体"/>
          <w:color w:val="auto"/>
          <w:sz w:val="21"/>
          <w:szCs w:val="21"/>
          <w:highlight w:val="none"/>
        </w:rPr>
      </w:pPr>
      <w:r>
        <w:rPr>
          <w:rFonts w:hint="eastAsia" w:ascii="宋体" w:hAnsi="宋体" w:cs="宋体"/>
          <w:color w:val="auto"/>
          <w:sz w:val="21"/>
          <w:szCs w:val="21"/>
          <w:highlight w:val="none"/>
        </w:rPr>
        <w:t>风冷热泵技术参数：</w:t>
      </w:r>
    </w:p>
    <w:p>
      <w:pPr>
        <w:numPr>
          <w:ilvl w:val="0"/>
          <w:numId w:val="33"/>
        </w:numPr>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冷量：进水温度 12℃，出水温度 7℃,室外温度:　15~48℃； </w:t>
      </w:r>
    </w:p>
    <w:p>
      <w:pPr>
        <w:numPr>
          <w:ilvl w:val="0"/>
          <w:numId w:val="33"/>
        </w:numPr>
        <w:spacing w:line="360" w:lineRule="auto"/>
        <w:rPr>
          <w:rFonts w:ascii="宋体" w:hAnsi="宋体" w:cs="宋体"/>
          <w:bCs/>
          <w:color w:val="auto"/>
          <w:szCs w:val="21"/>
          <w:highlight w:val="none"/>
        </w:rPr>
      </w:pPr>
      <w:r>
        <w:rPr>
          <w:rFonts w:hint="eastAsia" w:ascii="宋体" w:hAnsi="宋体" w:cs="宋体"/>
          <w:bCs/>
          <w:color w:val="auto"/>
          <w:szCs w:val="21"/>
          <w:highlight w:val="none"/>
        </w:rPr>
        <w:t>热量：进水温度 40℃，出水温度 45℃，室外温度:-15~24℃；</w:t>
      </w:r>
    </w:p>
    <w:p>
      <w:pPr>
        <w:numPr>
          <w:ilvl w:val="0"/>
          <w:numId w:val="33"/>
        </w:numPr>
        <w:spacing w:line="360" w:lineRule="auto"/>
        <w:rPr>
          <w:rFonts w:ascii="宋体" w:hAnsi="宋体" w:cs="宋体"/>
          <w:bCs/>
          <w:color w:val="auto"/>
          <w:szCs w:val="21"/>
          <w:highlight w:val="none"/>
        </w:rPr>
      </w:pPr>
      <w:r>
        <w:rPr>
          <w:rFonts w:hint="eastAsia" w:ascii="宋体" w:hAnsi="宋体" w:cs="宋体"/>
          <w:bCs/>
          <w:color w:val="auto"/>
          <w:szCs w:val="21"/>
          <w:highlight w:val="none"/>
        </w:rPr>
        <w:t>工作电压为 380V/3N~/50Hz。</w:t>
      </w:r>
    </w:p>
    <w:p>
      <w:pPr>
        <w:numPr>
          <w:ilvl w:val="0"/>
          <w:numId w:val="33"/>
        </w:numPr>
        <w:spacing w:line="360" w:lineRule="auto"/>
        <w:rPr>
          <w:rFonts w:ascii="宋体" w:hAnsi="宋体" w:cs="宋体"/>
          <w:bCs/>
          <w:color w:val="auto"/>
          <w:szCs w:val="21"/>
          <w:highlight w:val="none"/>
        </w:rPr>
      </w:pPr>
      <w:r>
        <w:rPr>
          <w:rFonts w:hint="eastAsia" w:ascii="宋体" w:hAnsi="宋体" w:cs="宋体"/>
          <w:bCs/>
          <w:color w:val="auto"/>
          <w:szCs w:val="21"/>
          <w:highlight w:val="none"/>
        </w:rPr>
        <w:t>风冷模块机组应为专门适应洁净手术部全年空调负荷，一般要求制冷适应范围比较广（制冷环境0～45 ℃），在室外温度较低的过渡季时机组能稳定运行制冷工况。</w:t>
      </w:r>
    </w:p>
    <w:p>
      <w:pPr>
        <w:numPr>
          <w:ilvl w:val="0"/>
          <w:numId w:val="33"/>
        </w:numPr>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模块机具有辅助融霜电磁阀，解决系统低温制热时化霜低压抽空隐患，改善机组运行寿命。 </w:t>
      </w:r>
    </w:p>
    <w:p>
      <w:pPr>
        <w:numPr>
          <w:ilvl w:val="0"/>
          <w:numId w:val="33"/>
        </w:numPr>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冷凝器换热管采用内螺纹铜管，亲水铝箔，冷凝管穿过散热翅片并和散热翅片连接，若干根毛细管远离分布头的端部进入集液管后分别对应插入支管中，不积液不气堵且 能够使空调系统保持低功耗。 </w:t>
      </w:r>
    </w:p>
    <w:p>
      <w:pPr>
        <w:numPr>
          <w:ilvl w:val="0"/>
          <w:numId w:val="33"/>
        </w:numPr>
        <w:spacing w:line="360" w:lineRule="auto"/>
        <w:rPr>
          <w:rFonts w:ascii="宋体" w:hAnsi="宋体" w:cs="宋体"/>
          <w:bCs/>
          <w:color w:val="auto"/>
          <w:szCs w:val="21"/>
          <w:highlight w:val="none"/>
        </w:rPr>
      </w:pPr>
      <w:r>
        <w:rPr>
          <w:rFonts w:hint="eastAsia" w:ascii="宋体" w:hAnsi="宋体" w:cs="宋体"/>
          <w:bCs/>
          <w:color w:val="auto"/>
          <w:szCs w:val="21"/>
          <w:highlight w:val="none"/>
        </w:rPr>
        <w:t>要求使用的设备必须为高效节能的机组， 整机能效比（含压缩机、冷凝风机的耗能）不得小于 3.2。</w:t>
      </w:r>
    </w:p>
    <w:p>
      <w:pPr>
        <w:numPr>
          <w:ilvl w:val="0"/>
          <w:numId w:val="33"/>
        </w:numPr>
        <w:spacing w:line="360" w:lineRule="auto"/>
        <w:rPr>
          <w:rFonts w:ascii="宋体" w:hAnsi="宋体" w:cs="宋体"/>
          <w:bCs/>
          <w:color w:val="auto"/>
          <w:szCs w:val="21"/>
          <w:highlight w:val="none"/>
        </w:rPr>
      </w:pPr>
      <w:r>
        <w:rPr>
          <w:rFonts w:hint="eastAsia" w:ascii="宋体" w:hAnsi="宋体" w:cs="宋体"/>
          <w:bCs/>
          <w:color w:val="auto"/>
          <w:szCs w:val="21"/>
          <w:highlight w:val="none"/>
        </w:rPr>
        <w:t>压缩机要求高效节能，采用高效全封闭式涡旋压缩机，噪声小、抗液击 能力强、易损件少、使用寿命长。</w:t>
      </w:r>
    </w:p>
    <w:p>
      <w:pPr>
        <w:numPr>
          <w:ilvl w:val="0"/>
          <w:numId w:val="33"/>
        </w:numPr>
        <w:spacing w:line="360" w:lineRule="auto"/>
        <w:rPr>
          <w:rFonts w:ascii="宋体" w:hAnsi="宋体" w:cs="宋体"/>
          <w:bCs/>
          <w:color w:val="auto"/>
          <w:szCs w:val="21"/>
          <w:highlight w:val="none"/>
        </w:rPr>
      </w:pPr>
      <w:r>
        <w:rPr>
          <w:rFonts w:hint="eastAsia" w:ascii="宋体" w:hAnsi="宋体" w:cs="宋体"/>
          <w:bCs/>
          <w:color w:val="auto"/>
          <w:szCs w:val="21"/>
          <w:highlight w:val="none"/>
        </w:rPr>
        <w:t>为方便机组制冷量调节，要求设备必须配备多个独立的制冷回路，单模块制冷回路不得低于 2 个，单模块压缩机配备数量不得少于 2 台。以实现多回路阶梯式能量调节，保证可有级或无级调节冷热量负载，使机组制冷（热）量与实际所需相匹配，从而提高压缩机工作效率、降低能耗；</w:t>
      </w:r>
    </w:p>
    <w:p>
      <w:pPr>
        <w:numPr>
          <w:ilvl w:val="0"/>
          <w:numId w:val="33"/>
        </w:numPr>
        <w:spacing w:line="360" w:lineRule="auto"/>
        <w:rPr>
          <w:rFonts w:ascii="宋体" w:hAnsi="宋体" w:cs="宋体"/>
          <w:bCs/>
          <w:color w:val="auto"/>
          <w:szCs w:val="21"/>
          <w:highlight w:val="none"/>
        </w:rPr>
      </w:pPr>
      <w:r>
        <w:rPr>
          <w:rFonts w:hint="eastAsia" w:ascii="宋体" w:hAnsi="宋体" w:cs="宋体"/>
          <w:bCs/>
          <w:color w:val="auto"/>
          <w:szCs w:val="21"/>
          <w:highlight w:val="none"/>
        </w:rPr>
        <w:t>机组蒸发器采用高效壳管式结构， 具有较强的抗冻性，对水质要求不高。</w:t>
      </w:r>
    </w:p>
    <w:p>
      <w:pPr>
        <w:numPr>
          <w:ilvl w:val="0"/>
          <w:numId w:val="33"/>
        </w:numPr>
        <w:spacing w:line="360" w:lineRule="auto"/>
        <w:rPr>
          <w:rFonts w:ascii="宋体" w:hAnsi="宋体" w:cs="宋体"/>
          <w:bCs/>
          <w:color w:val="auto"/>
          <w:szCs w:val="21"/>
          <w:highlight w:val="none"/>
        </w:rPr>
      </w:pPr>
      <w:r>
        <w:rPr>
          <w:rFonts w:hint="eastAsia" w:ascii="宋体" w:hAnsi="宋体" w:cs="宋体"/>
          <w:bCs/>
          <w:color w:val="auto"/>
          <w:szCs w:val="21"/>
          <w:highlight w:val="none"/>
        </w:rPr>
        <w:t>制冷剂采用R410A环保型冷媒，不破环臭氧层，不得使用R22制冷剂。</w:t>
      </w:r>
    </w:p>
    <w:p>
      <w:pPr>
        <w:numPr>
          <w:ilvl w:val="0"/>
          <w:numId w:val="33"/>
        </w:numPr>
        <w:spacing w:line="360" w:lineRule="auto"/>
        <w:rPr>
          <w:rFonts w:ascii="宋体" w:hAnsi="宋体" w:cs="宋体"/>
          <w:bCs/>
          <w:color w:val="auto"/>
          <w:szCs w:val="21"/>
          <w:highlight w:val="none"/>
        </w:rPr>
      </w:pPr>
      <w:r>
        <w:rPr>
          <w:rFonts w:hint="eastAsia" w:ascii="宋体" w:hAnsi="宋体" w:cs="宋体"/>
          <w:bCs/>
          <w:color w:val="auto"/>
          <w:szCs w:val="21"/>
          <w:highlight w:val="none"/>
        </w:rPr>
        <w:t>自动化程度高，功能齐全，能实现程序管理、定时控制、水泵管理、全功能故障报警、故障自我诊断、智能除霜、高低压力保护、断水延时保护、防冻保护、 过载过热保护、缺相和相序保护、均衡运行、现场，远距离停机、冬天防冻结运行、多模块分时启动等多重功能；</w:t>
      </w:r>
    </w:p>
    <w:p>
      <w:pPr>
        <w:numPr>
          <w:ilvl w:val="0"/>
          <w:numId w:val="33"/>
        </w:numPr>
        <w:spacing w:line="360" w:lineRule="auto"/>
        <w:rPr>
          <w:rFonts w:ascii="宋体" w:hAnsi="宋体" w:cs="宋体"/>
          <w:bCs/>
          <w:color w:val="auto"/>
          <w:szCs w:val="21"/>
          <w:highlight w:val="none"/>
        </w:rPr>
      </w:pPr>
      <w:r>
        <w:rPr>
          <w:rFonts w:hint="eastAsia" w:ascii="宋体" w:hAnsi="宋体" w:cs="宋体"/>
          <w:bCs/>
          <w:color w:val="auto"/>
          <w:szCs w:val="21"/>
          <w:highlight w:val="none"/>
        </w:rPr>
        <w:t>控制屏采用三级密码保护，防止程序和设定参数被误操作或随意更改；</w:t>
      </w:r>
    </w:p>
    <w:p>
      <w:pPr>
        <w:numPr>
          <w:ilvl w:val="0"/>
          <w:numId w:val="33"/>
        </w:numPr>
        <w:spacing w:line="360" w:lineRule="auto"/>
        <w:rPr>
          <w:rFonts w:ascii="宋体" w:hAnsi="宋体" w:cs="宋体"/>
          <w:bCs/>
          <w:color w:val="auto"/>
          <w:szCs w:val="21"/>
          <w:highlight w:val="none"/>
        </w:rPr>
      </w:pPr>
      <w:r>
        <w:rPr>
          <w:rFonts w:hint="eastAsia" w:ascii="宋体" w:hAnsi="宋体" w:cs="宋体"/>
          <w:bCs/>
          <w:color w:val="auto"/>
          <w:szCs w:val="21"/>
          <w:highlight w:val="none"/>
        </w:rPr>
        <w:t>为适应净化系统负荷变化较大的特点，要求机组选用电子膨胀阀，以快速适应并按环境温度的变化进行制冷剂流量的调整，使控制更加精准。</w:t>
      </w:r>
    </w:p>
    <w:p>
      <w:pPr>
        <w:pStyle w:val="9"/>
        <w:numPr>
          <w:ilvl w:val="0"/>
          <w:numId w:val="27"/>
        </w:numPr>
        <w:adjustRightInd w:val="0"/>
        <w:snapToGrid w:val="0"/>
        <w:spacing w:before="0" w:after="0" w:line="360" w:lineRule="auto"/>
        <w:rPr>
          <w:rFonts w:ascii="宋体" w:hAnsi="宋体" w:cs="宋体"/>
          <w:color w:val="auto"/>
          <w:sz w:val="21"/>
          <w:szCs w:val="21"/>
          <w:highlight w:val="none"/>
        </w:rPr>
      </w:pPr>
      <w:r>
        <w:rPr>
          <w:rFonts w:hint="eastAsia" w:ascii="宋体" w:hAnsi="宋体" w:cs="宋体"/>
          <w:color w:val="auto"/>
          <w:sz w:val="21"/>
          <w:szCs w:val="21"/>
          <w:highlight w:val="none"/>
        </w:rPr>
        <w:t>橡塑保温棉技术参数</w:t>
      </w:r>
    </w:p>
    <w:p>
      <w:pPr>
        <w:numPr>
          <w:ilvl w:val="0"/>
          <w:numId w:val="34"/>
        </w:numPr>
        <w:spacing w:line="360" w:lineRule="auto"/>
        <w:rPr>
          <w:rFonts w:ascii="宋体" w:hAnsi="宋体" w:cs="宋体"/>
          <w:bCs/>
          <w:color w:val="auto"/>
          <w:szCs w:val="21"/>
          <w:highlight w:val="none"/>
        </w:rPr>
      </w:pPr>
      <w:r>
        <w:rPr>
          <w:rFonts w:hint="eastAsia" w:ascii="宋体" w:hAnsi="宋体" w:cs="宋体"/>
          <w:bCs/>
          <w:color w:val="auto"/>
          <w:szCs w:val="21"/>
          <w:highlight w:val="none"/>
        </w:rPr>
        <w:t>表观密度：50-60kg/m³；</w:t>
      </w:r>
    </w:p>
    <w:p>
      <w:pPr>
        <w:numPr>
          <w:ilvl w:val="0"/>
          <w:numId w:val="34"/>
        </w:numPr>
        <w:spacing w:line="360" w:lineRule="auto"/>
        <w:rPr>
          <w:rFonts w:ascii="宋体" w:hAnsi="宋体" w:cs="宋体"/>
          <w:bCs/>
          <w:color w:val="auto"/>
          <w:szCs w:val="21"/>
          <w:highlight w:val="none"/>
        </w:rPr>
      </w:pPr>
      <w:r>
        <w:rPr>
          <w:rFonts w:hint="eastAsia" w:ascii="宋体" w:hAnsi="宋体" w:cs="宋体"/>
          <w:bCs/>
          <w:color w:val="auto"/>
          <w:szCs w:val="21"/>
          <w:highlight w:val="none"/>
        </w:rPr>
        <w:t>燃烧性能：难燃B1级（GB8624-2012）;</w:t>
      </w:r>
    </w:p>
    <w:p>
      <w:pPr>
        <w:numPr>
          <w:ilvl w:val="0"/>
          <w:numId w:val="34"/>
        </w:numPr>
        <w:spacing w:line="360" w:lineRule="auto"/>
        <w:rPr>
          <w:rFonts w:ascii="宋体" w:hAnsi="宋体" w:cs="宋体"/>
          <w:bCs/>
          <w:color w:val="auto"/>
          <w:szCs w:val="21"/>
          <w:highlight w:val="none"/>
        </w:rPr>
      </w:pPr>
      <w:r>
        <w:rPr>
          <w:rFonts w:hint="eastAsia" w:ascii="宋体" w:hAnsi="宋体" w:cs="宋体"/>
          <w:bCs/>
          <w:color w:val="auto"/>
          <w:szCs w:val="21"/>
          <w:highlight w:val="none"/>
        </w:rPr>
        <w:t>燃烧产烟毒性：准安全ZA3级合格；</w:t>
      </w:r>
    </w:p>
    <w:p>
      <w:pPr>
        <w:numPr>
          <w:ilvl w:val="0"/>
          <w:numId w:val="34"/>
        </w:numPr>
        <w:spacing w:line="360" w:lineRule="auto"/>
        <w:rPr>
          <w:rFonts w:ascii="宋体" w:hAnsi="宋体" w:cs="宋体"/>
          <w:bCs/>
          <w:color w:val="auto"/>
          <w:szCs w:val="21"/>
          <w:highlight w:val="none"/>
        </w:rPr>
      </w:pPr>
      <w:r>
        <w:rPr>
          <w:rFonts w:hint="eastAsia" w:ascii="宋体" w:hAnsi="宋体" w:cs="宋体"/>
          <w:bCs/>
          <w:color w:val="auto"/>
          <w:szCs w:val="21"/>
          <w:highlight w:val="none"/>
        </w:rPr>
        <w:t>氧指数：≥38；湿阻因子≥16000；</w:t>
      </w:r>
    </w:p>
    <w:p>
      <w:pPr>
        <w:numPr>
          <w:ilvl w:val="0"/>
          <w:numId w:val="34"/>
        </w:numPr>
        <w:spacing w:line="360" w:lineRule="auto"/>
        <w:rPr>
          <w:rFonts w:ascii="宋体" w:hAnsi="宋体" w:cs="宋体"/>
          <w:bCs/>
          <w:color w:val="auto"/>
          <w:szCs w:val="21"/>
          <w:highlight w:val="none"/>
        </w:rPr>
      </w:pPr>
      <w:r>
        <w:rPr>
          <w:rFonts w:hint="eastAsia" w:ascii="宋体" w:hAnsi="宋体" w:cs="宋体"/>
          <w:bCs/>
          <w:color w:val="auto"/>
          <w:szCs w:val="21"/>
          <w:highlight w:val="none"/>
        </w:rPr>
        <w:t>0℃时，导热系数≤0.032W/（m℃）；</w:t>
      </w:r>
    </w:p>
    <w:p>
      <w:pPr>
        <w:numPr>
          <w:ilvl w:val="0"/>
          <w:numId w:val="34"/>
        </w:numPr>
        <w:spacing w:line="360" w:lineRule="auto"/>
        <w:rPr>
          <w:rFonts w:ascii="宋体" w:hAnsi="宋体" w:cs="宋体"/>
          <w:bCs/>
          <w:color w:val="auto"/>
          <w:szCs w:val="21"/>
          <w:highlight w:val="none"/>
        </w:rPr>
      </w:pPr>
      <w:r>
        <w:rPr>
          <w:rFonts w:hint="eastAsia" w:ascii="宋体" w:hAnsi="宋体" w:cs="宋体"/>
          <w:bCs/>
          <w:color w:val="auto"/>
          <w:szCs w:val="21"/>
          <w:highlight w:val="none"/>
        </w:rPr>
        <w:t>橡塑保温材料具有防霉抗菌功能；</w:t>
      </w:r>
    </w:p>
    <w:p>
      <w:pPr>
        <w:numPr>
          <w:ilvl w:val="0"/>
          <w:numId w:val="34"/>
        </w:numPr>
        <w:spacing w:line="360" w:lineRule="auto"/>
        <w:rPr>
          <w:rFonts w:ascii="宋体" w:hAnsi="宋体" w:cs="宋体"/>
          <w:bCs/>
          <w:color w:val="auto"/>
          <w:szCs w:val="21"/>
          <w:highlight w:val="none"/>
        </w:rPr>
      </w:pPr>
      <w:r>
        <w:rPr>
          <w:rFonts w:hint="eastAsia" w:ascii="宋体" w:hAnsi="宋体" w:cs="宋体"/>
          <w:bCs/>
          <w:color w:val="auto"/>
          <w:szCs w:val="21"/>
          <w:highlight w:val="none"/>
        </w:rPr>
        <w:t>单质硫（mg/kg）≤10；</w:t>
      </w:r>
    </w:p>
    <w:p>
      <w:pPr>
        <w:pStyle w:val="9"/>
        <w:numPr>
          <w:ilvl w:val="0"/>
          <w:numId w:val="16"/>
        </w:numPr>
        <w:spacing w:before="0" w:after="0" w:line="360" w:lineRule="auto"/>
        <w:rPr>
          <w:rFonts w:ascii="宋体" w:hAnsi="宋体" w:cs="宋体"/>
          <w:color w:val="auto"/>
          <w:sz w:val="21"/>
          <w:szCs w:val="21"/>
          <w:highlight w:val="none"/>
        </w:rPr>
      </w:pPr>
      <w:r>
        <w:rPr>
          <w:rFonts w:hint="eastAsia" w:ascii="宋体" w:hAnsi="宋体" w:cs="宋体"/>
          <w:color w:val="auto"/>
          <w:sz w:val="21"/>
          <w:szCs w:val="21"/>
          <w:highlight w:val="none"/>
        </w:rPr>
        <w:t>强电系统工程技术要求</w:t>
      </w:r>
    </w:p>
    <w:p>
      <w:pPr>
        <w:pStyle w:val="9"/>
        <w:numPr>
          <w:ilvl w:val="0"/>
          <w:numId w:val="35"/>
        </w:numPr>
        <w:adjustRightInd w:val="0"/>
        <w:snapToGrid w:val="0"/>
        <w:spacing w:before="0" w:after="0" w:line="360" w:lineRule="auto"/>
        <w:rPr>
          <w:rFonts w:ascii="宋体" w:hAnsi="宋体" w:cs="宋体"/>
          <w:color w:val="auto"/>
          <w:sz w:val="21"/>
          <w:szCs w:val="21"/>
          <w:highlight w:val="none"/>
        </w:rPr>
      </w:pPr>
      <w:r>
        <w:rPr>
          <w:rFonts w:hint="eastAsia" w:ascii="宋体" w:hAnsi="宋体" w:cs="宋体"/>
          <w:color w:val="auto"/>
          <w:sz w:val="21"/>
          <w:szCs w:val="21"/>
          <w:highlight w:val="none"/>
        </w:rPr>
        <w:t>系统设计要求</w:t>
      </w:r>
    </w:p>
    <w:p>
      <w:pPr>
        <w:numPr>
          <w:ilvl w:val="0"/>
          <w:numId w:val="36"/>
        </w:numPr>
        <w:adjustRightInd w:val="0"/>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招标方将双电源线引至</w:t>
      </w:r>
      <w:r>
        <w:rPr>
          <w:rFonts w:hint="eastAsia"/>
          <w:color w:val="auto"/>
          <w:highlight w:val="none"/>
        </w:rPr>
        <w:t>综合手术部、DSA、隔离待产、产房手术室</w:t>
      </w:r>
      <w:r>
        <w:rPr>
          <w:rFonts w:hint="eastAsia" w:ascii="宋体" w:hAnsi="宋体" w:cs="宋体"/>
          <w:color w:val="auto"/>
          <w:szCs w:val="21"/>
          <w:highlight w:val="none"/>
        </w:rPr>
        <w:t>及空调机房外双电源切换总配电箱内，配电箱及其之后所有的桥架、线管、电源线、照明、插座等工程全部由中标方采购、安装。</w:t>
      </w:r>
    </w:p>
    <w:p>
      <w:pPr>
        <w:numPr>
          <w:ilvl w:val="0"/>
          <w:numId w:val="36"/>
        </w:numPr>
        <w:adjustRightInd w:val="0"/>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手术室内用电应与辅房用电分开，每个手术室内干线必须单独敷设。</w:t>
      </w:r>
    </w:p>
    <w:p>
      <w:pPr>
        <w:numPr>
          <w:ilvl w:val="0"/>
          <w:numId w:val="36"/>
        </w:numPr>
        <w:adjustRightInd w:val="0"/>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每间手术室配电负荷不应小于10KVA。</w:t>
      </w:r>
    </w:p>
    <w:p>
      <w:pPr>
        <w:numPr>
          <w:ilvl w:val="0"/>
          <w:numId w:val="36"/>
        </w:numPr>
        <w:adjustRightInd w:val="0"/>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照明应采用医用LED平板灯，满足洁净环境气密性要求禁用普通灯带代替，灯带必须布置在送风口之外。</w:t>
      </w:r>
    </w:p>
    <w:p>
      <w:pPr>
        <w:numPr>
          <w:ilvl w:val="0"/>
          <w:numId w:val="36"/>
        </w:numPr>
        <w:adjustRightInd w:val="0"/>
        <w:snapToGrid w:val="0"/>
        <w:spacing w:line="360" w:lineRule="auto"/>
        <w:rPr>
          <w:rFonts w:ascii="宋体" w:hAnsi="宋体" w:cs="宋体"/>
          <w:color w:val="auto"/>
          <w:szCs w:val="21"/>
          <w:highlight w:val="none"/>
          <w:u w:val="single"/>
        </w:rPr>
      </w:pPr>
      <w:r>
        <w:rPr>
          <w:rFonts w:hint="eastAsia" w:ascii="宋体" w:hAnsi="宋体" w:cs="宋体"/>
          <w:color w:val="auto"/>
          <w:szCs w:val="21"/>
          <w:highlight w:val="none"/>
        </w:rPr>
        <w:t>手术室设计平均照度应在350LX以上，治疗区域设计平均照度应在300LX以上，其余辅房及走廊平均照度应在</w:t>
      </w:r>
      <w:r>
        <w:rPr>
          <w:rFonts w:ascii="宋体" w:hAnsi="宋体" w:cs="宋体"/>
          <w:color w:val="auto"/>
          <w:szCs w:val="21"/>
          <w:highlight w:val="none"/>
        </w:rPr>
        <w:t>1</w:t>
      </w:r>
      <w:r>
        <w:rPr>
          <w:rFonts w:hint="eastAsia" w:ascii="宋体" w:hAnsi="宋体" w:cs="宋体"/>
          <w:color w:val="auto"/>
          <w:szCs w:val="21"/>
          <w:highlight w:val="none"/>
        </w:rPr>
        <w:t>0</w:t>
      </w:r>
      <w:r>
        <w:rPr>
          <w:rFonts w:ascii="宋体" w:hAnsi="宋体" w:cs="宋体"/>
          <w:color w:val="auto"/>
          <w:szCs w:val="21"/>
          <w:highlight w:val="none"/>
        </w:rPr>
        <w:t>0</w:t>
      </w:r>
      <w:r>
        <w:rPr>
          <w:rFonts w:hint="eastAsia" w:ascii="宋体" w:hAnsi="宋体" w:cs="宋体"/>
          <w:color w:val="auto"/>
          <w:szCs w:val="21"/>
          <w:highlight w:val="none"/>
        </w:rPr>
        <w:t>LX以上。</w:t>
      </w:r>
    </w:p>
    <w:p>
      <w:pPr>
        <w:numPr>
          <w:ilvl w:val="0"/>
          <w:numId w:val="36"/>
        </w:numPr>
        <w:adjustRightInd w:val="0"/>
        <w:snapToGrid w:val="0"/>
        <w:spacing w:line="360" w:lineRule="auto"/>
        <w:rPr>
          <w:rFonts w:ascii="宋体" w:hAnsi="宋体" w:cs="宋体"/>
          <w:color w:val="auto"/>
          <w:szCs w:val="21"/>
          <w:highlight w:val="none"/>
          <w:u w:val="single"/>
        </w:rPr>
      </w:pPr>
      <w:r>
        <w:rPr>
          <w:rFonts w:hint="eastAsia" w:ascii="宋体" w:hAnsi="宋体" w:cs="宋体"/>
          <w:color w:val="auto"/>
          <w:szCs w:val="21"/>
          <w:highlight w:val="none"/>
        </w:rPr>
        <w:t>手术部洁净区照明由洁净气密型灯组成。</w:t>
      </w:r>
    </w:p>
    <w:p>
      <w:pPr>
        <w:numPr>
          <w:ilvl w:val="0"/>
          <w:numId w:val="36"/>
        </w:numPr>
        <w:adjustRightInd w:val="0"/>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每间手术室和复苏室灯盘根据规范要求设置紧急照明系统。</w:t>
      </w:r>
    </w:p>
    <w:p>
      <w:pPr>
        <w:numPr>
          <w:ilvl w:val="0"/>
          <w:numId w:val="36"/>
        </w:numPr>
        <w:adjustRightInd w:val="0"/>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洁净手术室的总配电箱，应设于非洁净区。每个洁净手术室应设有一个独立专用配电箱，配电箱应设在该手术室的外侧墙内。</w:t>
      </w:r>
    </w:p>
    <w:p>
      <w:pPr>
        <w:numPr>
          <w:ilvl w:val="0"/>
          <w:numId w:val="36"/>
        </w:numPr>
        <w:adjustRightInd w:val="0"/>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控制装备显示面板应与手术室内墙面齐平严密。</w:t>
      </w:r>
    </w:p>
    <w:p>
      <w:pPr>
        <w:numPr>
          <w:ilvl w:val="0"/>
          <w:numId w:val="36"/>
        </w:numPr>
        <w:adjustRightInd w:val="0"/>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洁净手术室应设置安全保护接地系统和等电位接地系统。</w:t>
      </w:r>
    </w:p>
    <w:p>
      <w:pPr>
        <w:numPr>
          <w:ilvl w:val="0"/>
          <w:numId w:val="36"/>
        </w:numPr>
        <w:adjustRightInd w:val="0"/>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每间手术室（包含产房手术室、DSA、隔离待产、I</w:t>
      </w:r>
      <w:r>
        <w:rPr>
          <w:rFonts w:ascii="宋体" w:hAnsi="宋体" w:cs="宋体"/>
          <w:color w:val="auto"/>
          <w:szCs w:val="21"/>
          <w:highlight w:val="none"/>
        </w:rPr>
        <w:t>CU</w:t>
      </w:r>
      <w:r>
        <w:rPr>
          <w:rFonts w:hint="eastAsia" w:ascii="宋体" w:hAnsi="宋体" w:cs="宋体"/>
          <w:color w:val="auto"/>
          <w:szCs w:val="21"/>
          <w:highlight w:val="none"/>
        </w:rPr>
        <w:t>、抢救室）设置医疗隔离IT电源装置，包括隔离变压器、绝缘监视仪、电流互感器、外接报警显示和测试单元等。</w:t>
      </w:r>
    </w:p>
    <w:p>
      <w:pPr>
        <w:numPr>
          <w:ilvl w:val="0"/>
          <w:numId w:val="36"/>
        </w:numPr>
        <w:adjustRightInd w:val="0"/>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综合手术室、产房手术室、DSA、隔离待产等按科室设置总的UPS，持续供电时间不小于</w:t>
      </w:r>
      <w:r>
        <w:rPr>
          <w:rFonts w:ascii="宋体" w:hAnsi="宋体" w:cs="宋体"/>
          <w:color w:val="auto"/>
          <w:szCs w:val="21"/>
          <w:highlight w:val="none"/>
        </w:rPr>
        <w:t>30min(</w:t>
      </w:r>
      <w:r>
        <w:rPr>
          <w:rFonts w:hint="eastAsia" w:ascii="宋体" w:hAnsi="宋体" w:cs="宋体"/>
          <w:color w:val="auto"/>
          <w:szCs w:val="21"/>
          <w:highlight w:val="none"/>
        </w:rPr>
        <w:t>可扩容）；要求每间手术室不小于10KVA，麻醉准备间、苏醒室每床不小于2.5KVA设置，UPS放置于同层或净化机房设备层。</w:t>
      </w:r>
    </w:p>
    <w:p>
      <w:pPr>
        <w:numPr>
          <w:ilvl w:val="0"/>
          <w:numId w:val="36"/>
        </w:numPr>
        <w:adjustRightInd w:val="0"/>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电缆采用无卤低烟阻燃交联聚乙烯绝缘聚烯烃护套铜芯电力电缆。</w:t>
      </w:r>
    </w:p>
    <w:p>
      <w:pPr>
        <w:numPr>
          <w:ilvl w:val="0"/>
          <w:numId w:val="36"/>
        </w:numPr>
        <w:adjustRightInd w:val="0"/>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电缆、电线应采用金属管及金属桥架敷设。</w:t>
      </w:r>
    </w:p>
    <w:p>
      <w:pPr>
        <w:numPr>
          <w:ilvl w:val="0"/>
          <w:numId w:val="36"/>
        </w:numPr>
        <w:adjustRightInd w:val="0"/>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电缆、电线、桥架、套管等材料选材及敷设要符合设计规范标准。</w:t>
      </w:r>
    </w:p>
    <w:p>
      <w:pPr>
        <w:pStyle w:val="9"/>
        <w:numPr>
          <w:ilvl w:val="0"/>
          <w:numId w:val="35"/>
        </w:numPr>
        <w:adjustRightInd w:val="0"/>
        <w:snapToGrid w:val="0"/>
        <w:spacing w:before="0" w:after="0" w:line="360" w:lineRule="auto"/>
        <w:rPr>
          <w:rFonts w:ascii="宋体" w:hAnsi="宋体" w:cs="宋体"/>
          <w:color w:val="auto"/>
          <w:sz w:val="21"/>
          <w:szCs w:val="21"/>
          <w:highlight w:val="none"/>
        </w:rPr>
      </w:pPr>
      <w:r>
        <w:rPr>
          <w:rFonts w:hint="eastAsia" w:ascii="宋体" w:hAnsi="宋体" w:cs="宋体"/>
          <w:color w:val="auto"/>
          <w:sz w:val="21"/>
          <w:szCs w:val="21"/>
          <w:highlight w:val="none"/>
        </w:rPr>
        <w:t>隔离变压器技术参数</w:t>
      </w:r>
    </w:p>
    <w:p>
      <w:pPr>
        <w:numPr>
          <w:ilvl w:val="0"/>
          <w:numId w:val="37"/>
        </w:numPr>
        <w:spacing w:line="360" w:lineRule="auto"/>
        <w:rPr>
          <w:rFonts w:ascii="宋体" w:hAnsi="宋体" w:cs="宋体"/>
          <w:bCs/>
          <w:color w:val="auto"/>
          <w:szCs w:val="21"/>
          <w:highlight w:val="none"/>
        </w:rPr>
      </w:pPr>
      <w:r>
        <w:rPr>
          <w:rFonts w:hint="eastAsia" w:ascii="宋体" w:hAnsi="宋体" w:cs="宋体"/>
          <w:bCs/>
          <w:color w:val="auto"/>
          <w:szCs w:val="21"/>
          <w:highlight w:val="none"/>
        </w:rPr>
        <w:t>医用IT隔离电源系统，符合中华人民共和国国标GB16895.24（IEC60364-7-710）《建筑物电气装置第7-710部分 对特殊装置或场所的要求-医疗场所》的相关标准。</w:t>
      </w:r>
    </w:p>
    <w:p>
      <w:pPr>
        <w:numPr>
          <w:ilvl w:val="0"/>
          <w:numId w:val="37"/>
        </w:numPr>
        <w:spacing w:line="360" w:lineRule="auto"/>
        <w:rPr>
          <w:rFonts w:ascii="宋体" w:hAnsi="宋体" w:cs="宋体"/>
          <w:bCs/>
          <w:color w:val="auto"/>
          <w:szCs w:val="21"/>
          <w:highlight w:val="none"/>
        </w:rPr>
      </w:pPr>
      <w:r>
        <w:rPr>
          <w:rFonts w:hint="eastAsia" w:ascii="宋体" w:hAnsi="宋体" w:cs="宋体"/>
          <w:bCs/>
          <w:color w:val="auto"/>
          <w:szCs w:val="21"/>
          <w:highlight w:val="none"/>
        </w:rPr>
        <w:t>医用</w:t>
      </w:r>
      <w:r>
        <w:rPr>
          <w:rFonts w:hint="eastAsia"/>
          <w:color w:val="auto"/>
          <w:highlight w:val="none"/>
        </w:rPr>
        <w:t>IT 隔离电源系统设置在抢救室、手术室及 ICU 病房，系统包括</w:t>
      </w:r>
      <w:r>
        <w:rPr>
          <w:rFonts w:hint="eastAsia" w:ascii="宋体" w:hAnsi="宋体" w:cs="宋体"/>
          <w:bCs/>
          <w:color w:val="auto"/>
          <w:szCs w:val="21"/>
          <w:highlight w:val="none"/>
        </w:rPr>
        <w:t>单相220V</w:t>
      </w:r>
      <w:r>
        <w:rPr>
          <w:rFonts w:hint="eastAsia"/>
          <w:color w:val="auto"/>
          <w:highlight w:val="none"/>
        </w:rPr>
        <w:t>隔离变压器(抢救室设置26套 5KVA，手术室设置21套 8KVA， ICU病房设置19套10KVA)、</w:t>
      </w:r>
      <w:r>
        <w:rPr>
          <w:rFonts w:hint="eastAsia" w:ascii="宋体" w:hAnsi="宋体" w:cs="宋体"/>
          <w:bCs/>
          <w:color w:val="auto"/>
          <w:szCs w:val="21"/>
          <w:highlight w:val="none"/>
        </w:rPr>
        <w:t>绝缘监视仪、电流互感器、外接报警显示和控制单元，须有绝缘阻值（绝缘阻值最小60KΩ报警）、过负荷、超温实时监控、断线及其它自身故障监控等功能。</w:t>
      </w:r>
    </w:p>
    <w:p>
      <w:pPr>
        <w:numPr>
          <w:ilvl w:val="0"/>
          <w:numId w:val="37"/>
        </w:numPr>
        <w:spacing w:line="360" w:lineRule="auto"/>
        <w:rPr>
          <w:rFonts w:ascii="宋体" w:hAnsi="宋体" w:cs="宋体"/>
          <w:bCs/>
          <w:color w:val="auto"/>
          <w:szCs w:val="21"/>
          <w:highlight w:val="none"/>
        </w:rPr>
      </w:pPr>
      <w:r>
        <w:rPr>
          <w:rFonts w:hint="eastAsia" w:ascii="宋体" w:hAnsi="宋体" w:cs="宋体"/>
          <w:bCs/>
          <w:color w:val="auto"/>
          <w:szCs w:val="21"/>
          <w:highlight w:val="none"/>
        </w:rPr>
        <w:t>医用单相隔离变压器应符合IEC61558-2-15/GB19212.16-2005《医疗场所供电用隔离变压器的特殊要求》标准。变压器应具有医用变压器的专用标识。</w:t>
      </w:r>
    </w:p>
    <w:p>
      <w:pPr>
        <w:numPr>
          <w:ilvl w:val="0"/>
          <w:numId w:val="37"/>
        </w:numPr>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 绝缘监视仪应符合IEC61557-8和IEC60364-7-710标准，并采用先进的电子测量技术进行检测，以提高本系统抗干扰能力和测量精度，实时且精确监视直流回路的IT电网各项参数及系统状态。</w:t>
      </w:r>
    </w:p>
    <w:p>
      <w:pPr>
        <w:numPr>
          <w:ilvl w:val="0"/>
          <w:numId w:val="37"/>
        </w:numPr>
        <w:spacing w:line="360" w:lineRule="auto"/>
        <w:rPr>
          <w:rFonts w:ascii="宋体" w:hAnsi="宋体" w:cs="宋体"/>
          <w:bCs/>
          <w:color w:val="auto"/>
          <w:szCs w:val="21"/>
          <w:highlight w:val="none"/>
        </w:rPr>
      </w:pPr>
      <w:r>
        <w:rPr>
          <w:rFonts w:hint="eastAsia" w:ascii="宋体" w:hAnsi="宋体" w:cs="宋体"/>
          <w:bCs/>
          <w:color w:val="auto"/>
          <w:szCs w:val="21"/>
          <w:highlight w:val="none"/>
        </w:rPr>
        <w:t>外接报警显示和控制单元可实时指示故障类型，发出声光报警，并可手动命令监护仪自检。</w:t>
      </w:r>
    </w:p>
    <w:p>
      <w:pPr>
        <w:numPr>
          <w:ilvl w:val="0"/>
          <w:numId w:val="37"/>
        </w:numPr>
        <w:spacing w:line="360" w:lineRule="auto"/>
        <w:rPr>
          <w:rFonts w:ascii="宋体" w:hAnsi="宋体" w:cs="宋体"/>
          <w:bCs/>
          <w:color w:val="auto"/>
          <w:szCs w:val="21"/>
          <w:highlight w:val="none"/>
        </w:rPr>
      </w:pPr>
      <w:r>
        <w:rPr>
          <w:rFonts w:hint="eastAsia" w:ascii="宋体" w:hAnsi="宋体" w:cs="宋体"/>
          <w:bCs/>
          <w:color w:val="auto"/>
          <w:szCs w:val="21"/>
          <w:highlight w:val="none"/>
        </w:rPr>
        <w:t>配置高精度的变比为50/0.05A电流互感器。</w:t>
      </w:r>
    </w:p>
    <w:p>
      <w:pPr>
        <w:pStyle w:val="3"/>
        <w:rPr>
          <w:rFonts w:ascii="宋体" w:hAnsi="宋体" w:cs="宋体"/>
          <w:b/>
          <w:bCs/>
          <w:color w:val="auto"/>
          <w:szCs w:val="21"/>
          <w:highlight w:val="none"/>
        </w:rPr>
      </w:pPr>
      <w:r>
        <w:rPr>
          <w:rFonts w:ascii="宋体" w:hAnsi="宋体" w:cs="宋体"/>
          <w:b/>
          <w:bCs/>
          <w:color w:val="auto"/>
          <w:szCs w:val="21"/>
          <w:highlight w:val="none"/>
        </w:rPr>
        <w:t>3</w:t>
      </w:r>
      <w:r>
        <w:rPr>
          <w:rFonts w:hint="eastAsia" w:ascii="宋体" w:hAnsi="宋体" w:cs="宋体"/>
          <w:b/>
          <w:bCs/>
          <w:color w:val="auto"/>
          <w:szCs w:val="21"/>
          <w:highlight w:val="none"/>
        </w:rPr>
        <w:t>、UPS技术参数</w:t>
      </w:r>
    </w:p>
    <w:p>
      <w:pPr>
        <w:numPr>
          <w:ilvl w:val="0"/>
          <w:numId w:val="38"/>
        </w:numPr>
        <w:spacing w:line="360" w:lineRule="auto"/>
        <w:rPr>
          <w:rFonts w:ascii="宋体" w:hAnsi="宋体" w:cs="宋体"/>
          <w:bCs/>
          <w:color w:val="auto"/>
          <w:szCs w:val="21"/>
          <w:highlight w:val="none"/>
        </w:rPr>
      </w:pPr>
      <w:r>
        <w:rPr>
          <w:rFonts w:hint="eastAsia" w:ascii="宋体" w:hAnsi="宋体" w:cs="宋体"/>
          <w:bCs/>
          <w:color w:val="auto"/>
          <w:szCs w:val="21"/>
          <w:highlight w:val="none"/>
        </w:rPr>
        <w:t>380V/220V输入，220V输出；</w:t>
      </w:r>
    </w:p>
    <w:p>
      <w:pPr>
        <w:numPr>
          <w:ilvl w:val="0"/>
          <w:numId w:val="38"/>
        </w:numPr>
        <w:spacing w:line="360" w:lineRule="auto"/>
        <w:rPr>
          <w:rFonts w:ascii="宋体" w:hAnsi="宋体" w:cs="宋体"/>
          <w:bCs/>
          <w:color w:val="auto"/>
          <w:szCs w:val="21"/>
          <w:highlight w:val="none"/>
        </w:rPr>
      </w:pPr>
      <w:r>
        <w:rPr>
          <w:rFonts w:hint="eastAsia" w:ascii="宋体" w:hAnsi="宋体" w:cs="宋体"/>
          <w:bCs/>
          <w:color w:val="auto"/>
          <w:szCs w:val="21"/>
          <w:highlight w:val="none"/>
        </w:rPr>
        <w:t>一体化设计,厚度不能超过40CM,夹墙靠墙安装,全正面维护；</w:t>
      </w:r>
    </w:p>
    <w:p>
      <w:pPr>
        <w:numPr>
          <w:ilvl w:val="0"/>
          <w:numId w:val="38"/>
        </w:numPr>
        <w:spacing w:line="360" w:lineRule="auto"/>
        <w:rPr>
          <w:rFonts w:ascii="宋体" w:hAnsi="宋体" w:cs="宋体"/>
          <w:bCs/>
          <w:color w:val="auto"/>
          <w:szCs w:val="21"/>
          <w:highlight w:val="none"/>
        </w:rPr>
      </w:pPr>
      <w:r>
        <w:rPr>
          <w:rFonts w:hint="eastAsia" w:ascii="宋体" w:hAnsi="宋体" w:cs="宋体"/>
          <w:bCs/>
          <w:color w:val="auto"/>
          <w:szCs w:val="21"/>
          <w:highlight w:val="none"/>
        </w:rPr>
        <w:t>从两侧进冷风,上部排风散热；</w:t>
      </w:r>
    </w:p>
    <w:p>
      <w:pPr>
        <w:numPr>
          <w:ilvl w:val="0"/>
          <w:numId w:val="38"/>
        </w:numPr>
        <w:spacing w:line="360" w:lineRule="auto"/>
        <w:rPr>
          <w:rFonts w:ascii="宋体" w:hAnsi="宋体" w:cs="宋体"/>
          <w:bCs/>
          <w:color w:val="auto"/>
          <w:szCs w:val="21"/>
          <w:highlight w:val="none"/>
        </w:rPr>
      </w:pPr>
      <w:r>
        <w:rPr>
          <w:rFonts w:hint="eastAsia" w:ascii="宋体" w:hAnsi="宋体" w:cs="宋体"/>
          <w:bCs/>
          <w:color w:val="auto"/>
          <w:szCs w:val="21"/>
          <w:highlight w:val="none"/>
        </w:rPr>
        <w:t>内置隔离变压器工频主机；</w:t>
      </w:r>
    </w:p>
    <w:p>
      <w:pPr>
        <w:numPr>
          <w:ilvl w:val="0"/>
          <w:numId w:val="38"/>
        </w:numPr>
        <w:spacing w:line="360" w:lineRule="auto"/>
        <w:rPr>
          <w:rFonts w:ascii="宋体" w:hAnsi="宋体" w:cs="宋体"/>
          <w:bCs/>
          <w:color w:val="auto"/>
          <w:szCs w:val="21"/>
          <w:highlight w:val="none"/>
        </w:rPr>
      </w:pPr>
      <w:r>
        <w:rPr>
          <w:rFonts w:hint="eastAsia" w:ascii="宋体" w:hAnsi="宋体" w:cs="宋体"/>
          <w:bCs/>
          <w:color w:val="auto"/>
          <w:szCs w:val="21"/>
          <w:highlight w:val="none"/>
        </w:rPr>
        <w:t>后备延时</w:t>
      </w:r>
      <w:r>
        <w:rPr>
          <w:rFonts w:ascii="宋体" w:hAnsi="宋体" w:cs="宋体"/>
          <w:bCs/>
          <w:color w:val="auto"/>
          <w:szCs w:val="21"/>
          <w:highlight w:val="none"/>
        </w:rPr>
        <w:t>30</w:t>
      </w:r>
      <w:r>
        <w:rPr>
          <w:rFonts w:hint="eastAsia" w:ascii="宋体" w:hAnsi="宋体" w:cs="宋体"/>
          <w:bCs/>
          <w:color w:val="auto"/>
          <w:szCs w:val="21"/>
          <w:highlight w:val="none"/>
        </w:rPr>
        <w:t>分钟满载（可扩容）；</w:t>
      </w:r>
    </w:p>
    <w:p>
      <w:pPr>
        <w:numPr>
          <w:ilvl w:val="0"/>
          <w:numId w:val="38"/>
        </w:numPr>
        <w:spacing w:line="360" w:lineRule="auto"/>
        <w:rPr>
          <w:rFonts w:ascii="宋体" w:hAnsi="宋体" w:cs="宋体"/>
          <w:bCs/>
          <w:color w:val="auto"/>
          <w:kern w:val="2"/>
          <w:szCs w:val="21"/>
          <w:highlight w:val="none"/>
        </w:rPr>
      </w:pPr>
      <w:r>
        <w:rPr>
          <w:rFonts w:hint="eastAsia" w:ascii="宋体" w:hAnsi="宋体" w:cs="宋体"/>
          <w:bCs/>
          <w:color w:val="auto"/>
          <w:szCs w:val="21"/>
          <w:highlight w:val="none"/>
        </w:rPr>
        <w:t>合同签订前提供原厂售后服务承诺书，每半年做电池性能检测，并出具检测报告；</w:t>
      </w:r>
    </w:p>
    <w:p>
      <w:pPr>
        <w:pStyle w:val="9"/>
        <w:numPr>
          <w:ilvl w:val="0"/>
          <w:numId w:val="16"/>
        </w:numPr>
        <w:spacing w:before="0" w:after="0" w:line="360" w:lineRule="auto"/>
        <w:rPr>
          <w:rFonts w:ascii="宋体" w:hAnsi="宋体" w:cs="宋体"/>
          <w:color w:val="auto"/>
          <w:sz w:val="21"/>
          <w:szCs w:val="21"/>
          <w:highlight w:val="none"/>
        </w:rPr>
      </w:pPr>
      <w:r>
        <w:rPr>
          <w:rFonts w:hint="eastAsia" w:ascii="宋体" w:hAnsi="宋体" w:cs="宋体"/>
          <w:color w:val="auto"/>
          <w:sz w:val="21"/>
          <w:szCs w:val="21"/>
          <w:highlight w:val="none"/>
        </w:rPr>
        <w:t>弱电系统工程技术要求</w:t>
      </w:r>
    </w:p>
    <w:p>
      <w:pPr>
        <w:pStyle w:val="9"/>
        <w:numPr>
          <w:ilvl w:val="0"/>
          <w:numId w:val="39"/>
        </w:numPr>
        <w:adjustRightInd w:val="0"/>
        <w:snapToGrid w:val="0"/>
        <w:spacing w:before="0" w:after="0" w:line="360" w:lineRule="auto"/>
        <w:rPr>
          <w:rFonts w:ascii="宋体" w:hAnsi="宋体" w:cs="宋体"/>
          <w:color w:val="auto"/>
          <w:sz w:val="21"/>
          <w:szCs w:val="21"/>
          <w:highlight w:val="none"/>
        </w:rPr>
      </w:pPr>
      <w:r>
        <w:rPr>
          <w:rFonts w:hint="eastAsia" w:ascii="宋体" w:hAnsi="宋体" w:cs="宋体"/>
          <w:color w:val="auto"/>
          <w:sz w:val="21"/>
          <w:szCs w:val="21"/>
          <w:highlight w:val="none"/>
        </w:rPr>
        <w:t>系统设计总体要求</w:t>
      </w:r>
    </w:p>
    <w:p>
      <w:pPr>
        <w:numPr>
          <w:ilvl w:val="0"/>
          <w:numId w:val="40"/>
        </w:numPr>
        <w:adjustRightInd w:val="0"/>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手术部（包含隔离待产、DSA、产房手术室）净化区域配置电话、网络系统、有线电视系统、呼叫系统、监控系统、可视门禁系统、背景音乐系统、数字化系统。其余弱电系统均不在本次招标范围内。</w:t>
      </w:r>
    </w:p>
    <w:p>
      <w:pPr>
        <w:numPr>
          <w:ilvl w:val="0"/>
          <w:numId w:val="40"/>
        </w:numPr>
        <w:adjustRightInd w:val="0"/>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所有设备及管线的招标、敷设均应符合国家电气、消防施工等相关技术规范要求。要求所有弱电的主机设备布局合理，整齐，美观，大方。</w:t>
      </w:r>
    </w:p>
    <w:p>
      <w:pPr>
        <w:pStyle w:val="9"/>
        <w:numPr>
          <w:ilvl w:val="0"/>
          <w:numId w:val="39"/>
        </w:numPr>
        <w:adjustRightInd w:val="0"/>
        <w:snapToGrid w:val="0"/>
        <w:spacing w:before="0" w:after="0" w:line="360" w:lineRule="auto"/>
        <w:rPr>
          <w:rFonts w:ascii="宋体" w:hAnsi="宋体" w:cs="宋体"/>
          <w:color w:val="auto"/>
          <w:sz w:val="21"/>
          <w:szCs w:val="21"/>
          <w:highlight w:val="none"/>
        </w:rPr>
      </w:pPr>
      <w:r>
        <w:rPr>
          <w:rFonts w:hint="eastAsia" w:ascii="宋体" w:hAnsi="宋体" w:cs="宋体"/>
          <w:color w:val="auto"/>
          <w:sz w:val="21"/>
          <w:szCs w:val="21"/>
          <w:highlight w:val="none"/>
        </w:rPr>
        <w:t>背景音乐系统（消防信号优先接入功能）</w:t>
      </w:r>
    </w:p>
    <w:p>
      <w:pPr>
        <w:numPr>
          <w:ilvl w:val="0"/>
          <w:numId w:val="41"/>
        </w:numPr>
        <w:adjustRightInd w:val="0"/>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手术部（包含DSA、产房手术室）净化区域均设置背景音乐系统，广播布线分区设置，公共广播系统平时播放引导广播及背景音乐，预留消防强切接口，在火灾时由消防控制主机强制切换到火灾应急广播状态。</w:t>
      </w:r>
    </w:p>
    <w:p>
      <w:pPr>
        <w:numPr>
          <w:ilvl w:val="0"/>
          <w:numId w:val="41"/>
        </w:numPr>
        <w:adjustRightInd w:val="0"/>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主机设置于各科室的护士站或办公室（以发标平面图布置位置为准），各区域按需设置背景音乐喇叭及音量控制开关,系统设音源播放器及话筒(详见系统图)，可实现广播找人。扬声器在有吊顶处嵌入安装,广播线路穿金属线槽，出线槽用钢管在顶板内敷设。</w:t>
      </w:r>
    </w:p>
    <w:p>
      <w:pPr>
        <w:pStyle w:val="9"/>
        <w:numPr>
          <w:ilvl w:val="0"/>
          <w:numId w:val="39"/>
        </w:numPr>
        <w:adjustRightInd w:val="0"/>
        <w:snapToGrid w:val="0"/>
        <w:spacing w:before="0" w:after="0" w:line="360" w:lineRule="auto"/>
        <w:rPr>
          <w:rFonts w:ascii="宋体" w:hAnsi="宋体" w:cs="宋体"/>
          <w:color w:val="auto"/>
          <w:sz w:val="21"/>
          <w:szCs w:val="21"/>
          <w:highlight w:val="none"/>
        </w:rPr>
      </w:pPr>
      <w:r>
        <w:rPr>
          <w:rFonts w:hint="eastAsia" w:ascii="宋体" w:hAnsi="宋体" w:cs="宋体"/>
          <w:color w:val="auto"/>
          <w:sz w:val="21"/>
          <w:szCs w:val="21"/>
          <w:highlight w:val="none"/>
        </w:rPr>
        <w:t>电话、网络系统</w:t>
      </w:r>
    </w:p>
    <w:p>
      <w:pPr>
        <w:numPr>
          <w:ilvl w:val="0"/>
          <w:numId w:val="42"/>
        </w:numPr>
        <w:adjustRightInd w:val="0"/>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手术部（包含隔离待产、DSA、产房手术室）净化区域均设置免提对讲电话：各手术室的对讲电话集成在情报面板上、其布线均预留至护士站（含控电话交换机）。</w:t>
      </w:r>
    </w:p>
    <w:p>
      <w:pPr>
        <w:numPr>
          <w:ilvl w:val="0"/>
          <w:numId w:val="42"/>
        </w:numPr>
        <w:adjustRightInd w:val="0"/>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手术部（包含隔离待产、DSA、产房手术室）净化区域内的各护士站和功能房间按功能需求设置电话、网络插座，每间手术室的电源插座箱各设1网络插座，每一个吊塔设2路网线插座（吊塔网络插座由吊塔厂商自带）、吊塔网线预留长度3m；具体点位以平面布置图设置的为准。</w:t>
      </w:r>
    </w:p>
    <w:p>
      <w:pPr>
        <w:numPr>
          <w:ilvl w:val="0"/>
          <w:numId w:val="42"/>
        </w:numPr>
        <w:adjustRightInd w:val="0"/>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所有电话、网络线路引至弱电井内、预留长度4米，由招标方接入大楼信息系统。</w:t>
      </w:r>
    </w:p>
    <w:p>
      <w:pPr>
        <w:pStyle w:val="9"/>
        <w:numPr>
          <w:ilvl w:val="0"/>
          <w:numId w:val="39"/>
        </w:numPr>
        <w:adjustRightInd w:val="0"/>
        <w:snapToGrid w:val="0"/>
        <w:spacing w:before="0" w:after="0" w:line="360" w:lineRule="auto"/>
        <w:rPr>
          <w:rFonts w:ascii="宋体" w:hAnsi="宋体" w:cs="宋体"/>
          <w:color w:val="auto"/>
          <w:sz w:val="21"/>
          <w:szCs w:val="21"/>
          <w:highlight w:val="none"/>
        </w:rPr>
      </w:pPr>
      <w:r>
        <w:rPr>
          <w:rFonts w:hint="eastAsia" w:ascii="宋体" w:hAnsi="宋体" w:cs="宋体"/>
          <w:color w:val="auto"/>
          <w:sz w:val="21"/>
          <w:szCs w:val="21"/>
          <w:highlight w:val="none"/>
        </w:rPr>
        <w:t>监控系统（监控系统需与大楼品牌统一，若后期变更品牌不追加费用）</w:t>
      </w:r>
    </w:p>
    <w:p>
      <w:pPr>
        <w:numPr>
          <w:ilvl w:val="0"/>
          <w:numId w:val="43"/>
        </w:numPr>
        <w:tabs>
          <w:tab w:val="left" w:pos="510"/>
          <w:tab w:val="left" w:pos="540"/>
        </w:tabs>
        <w:adjustRightInd w:val="0"/>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监控点设置：手术部（包含DSA、产房手术室）净化区域内</w:t>
      </w:r>
      <w:r>
        <w:rPr>
          <w:rFonts w:hint="eastAsia"/>
          <w:color w:val="auto"/>
          <w:highlight w:val="none"/>
        </w:rPr>
        <w:t>均</w:t>
      </w:r>
      <w:r>
        <w:rPr>
          <w:rFonts w:hint="eastAsia" w:ascii="宋体" w:hAnsi="宋体" w:cs="宋体"/>
          <w:color w:val="auto"/>
          <w:szCs w:val="21"/>
          <w:highlight w:val="none"/>
        </w:rPr>
        <w:t>设置网络监控系统，系统主机设置各科室的护士站(具体以发标平面图布置位置为准)，所有图像都传送到系统主机，可实现多地点、多画面实时监控。</w:t>
      </w:r>
    </w:p>
    <w:p>
      <w:pPr>
        <w:numPr>
          <w:ilvl w:val="0"/>
          <w:numId w:val="43"/>
        </w:numPr>
        <w:tabs>
          <w:tab w:val="left" w:pos="510"/>
          <w:tab w:val="left" w:pos="540"/>
        </w:tabs>
        <w:adjustRightInd w:val="0"/>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监控设备：各区域监控主机包括操作键盘，彩色监视器，硬盘录像机(带硬盘)，具体配置详见系统图。 </w:t>
      </w:r>
    </w:p>
    <w:p>
      <w:pPr>
        <w:numPr>
          <w:ilvl w:val="0"/>
          <w:numId w:val="43"/>
        </w:numPr>
        <w:tabs>
          <w:tab w:val="left" w:pos="510"/>
          <w:tab w:val="left" w:pos="540"/>
        </w:tabs>
        <w:adjustRightInd w:val="0"/>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系统功能：系统通过数码网络硬盘录像机进行集中控制和处理，视频图像通过监视器显示，系统可实现记录图像的回放、检索等，同时监控画面可任意切换，任意分割、任意组合排列。</w:t>
      </w:r>
    </w:p>
    <w:p>
      <w:pPr>
        <w:pStyle w:val="9"/>
        <w:numPr>
          <w:ilvl w:val="0"/>
          <w:numId w:val="39"/>
        </w:numPr>
        <w:adjustRightInd w:val="0"/>
        <w:snapToGrid w:val="0"/>
        <w:spacing w:before="0" w:after="0" w:line="360" w:lineRule="auto"/>
        <w:rPr>
          <w:rFonts w:ascii="宋体" w:hAnsi="宋体" w:cs="宋体"/>
          <w:color w:val="auto"/>
          <w:sz w:val="21"/>
          <w:szCs w:val="21"/>
          <w:highlight w:val="none"/>
        </w:rPr>
      </w:pPr>
      <w:r>
        <w:rPr>
          <w:rFonts w:hint="eastAsia" w:ascii="宋体" w:hAnsi="宋体" w:cs="宋体"/>
          <w:color w:val="auto"/>
          <w:sz w:val="21"/>
          <w:szCs w:val="21"/>
          <w:highlight w:val="none"/>
        </w:rPr>
        <w:t>可视门禁系统（门禁系统需与大楼品牌统一，若后期变更品牌不追加费用）</w:t>
      </w:r>
    </w:p>
    <w:p>
      <w:pPr>
        <w:numPr>
          <w:ilvl w:val="0"/>
          <w:numId w:val="44"/>
        </w:numPr>
        <w:tabs>
          <w:tab w:val="left" w:pos="510"/>
          <w:tab w:val="left" w:pos="540"/>
        </w:tabs>
        <w:adjustRightInd w:val="0"/>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手术部（包含DSA、产房手术室）净化区域内的医护、病患总入口、污物出口处设置门禁系统门口机，高值耗材库房配置刷卡门禁门口机；系统主机室内机设置各科室的护士站（具体以发标平面图布置的位置为准）。系统可实现门铃呼叫主机、刷卡、密码输入等方式。</w:t>
      </w:r>
    </w:p>
    <w:p>
      <w:pPr>
        <w:numPr>
          <w:ilvl w:val="0"/>
          <w:numId w:val="44"/>
        </w:numPr>
        <w:tabs>
          <w:tab w:val="left" w:pos="510"/>
          <w:tab w:val="left" w:pos="540"/>
        </w:tabs>
        <w:adjustRightInd w:val="0"/>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系统由门禁控制器、读卡器、IC卡、电子门锁组成及开门按钮。门禁控制器在吊顶内距吊顶0.2米安装，读卡器、电子门锁结合门的形式安装，读卡器安装高度为1.5米。</w:t>
      </w:r>
    </w:p>
    <w:p>
      <w:pPr>
        <w:numPr>
          <w:ilvl w:val="0"/>
          <w:numId w:val="44"/>
        </w:numPr>
        <w:tabs>
          <w:tab w:val="left" w:pos="510"/>
          <w:tab w:val="left" w:pos="540"/>
        </w:tabs>
        <w:adjustRightInd w:val="0"/>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通信及线路要求：门口机与室内机间采用TCP/IP协议，采用六类屏蔽网线STP.CAT6.4p。 </w:t>
      </w:r>
    </w:p>
    <w:p>
      <w:pPr>
        <w:pStyle w:val="9"/>
        <w:numPr>
          <w:ilvl w:val="0"/>
          <w:numId w:val="39"/>
        </w:numPr>
        <w:adjustRightInd w:val="0"/>
        <w:snapToGrid w:val="0"/>
        <w:spacing w:before="0" w:after="0" w:line="360" w:lineRule="auto"/>
        <w:rPr>
          <w:rFonts w:ascii="宋体" w:hAnsi="宋体" w:cs="宋体"/>
          <w:color w:val="auto"/>
          <w:sz w:val="21"/>
          <w:szCs w:val="21"/>
          <w:highlight w:val="none"/>
        </w:rPr>
      </w:pPr>
      <w:r>
        <w:rPr>
          <w:rFonts w:hint="eastAsia" w:ascii="宋体" w:hAnsi="宋体" w:cs="宋体"/>
          <w:color w:val="auto"/>
          <w:sz w:val="21"/>
          <w:szCs w:val="21"/>
          <w:highlight w:val="none"/>
        </w:rPr>
        <w:t>呼叫系统</w:t>
      </w:r>
    </w:p>
    <w:p>
      <w:pPr>
        <w:numPr>
          <w:ilvl w:val="0"/>
          <w:numId w:val="45"/>
        </w:numPr>
        <w:adjustRightInd w:val="0"/>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手术部（包含隔离待产、DSA、PICU负压病房、MICU负压病房）净化区域内的设置一套呼叫系统，主机设置于护士站(具体以发标平面图布置位置为准)，麻醉准备间、复苏室、分娩室等区域按需求设置呼叫分机。</w:t>
      </w:r>
    </w:p>
    <w:p>
      <w:pPr>
        <w:numPr>
          <w:ilvl w:val="0"/>
          <w:numId w:val="45"/>
        </w:numPr>
        <w:adjustRightInd w:val="0"/>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系统采用总线制设置方式，配置带手柄呼叫按钮、方便使用，实现专门用于医护人员与病床病人之间的双向呼叫。</w:t>
      </w:r>
    </w:p>
    <w:p>
      <w:pPr>
        <w:pStyle w:val="9"/>
        <w:numPr>
          <w:ilvl w:val="0"/>
          <w:numId w:val="39"/>
        </w:numPr>
        <w:adjustRightInd w:val="0"/>
        <w:snapToGrid w:val="0"/>
        <w:spacing w:before="0" w:after="0" w:line="360" w:lineRule="auto"/>
        <w:rPr>
          <w:rFonts w:ascii="宋体" w:hAnsi="宋体" w:cs="宋体"/>
          <w:color w:val="auto"/>
          <w:sz w:val="21"/>
          <w:szCs w:val="21"/>
          <w:highlight w:val="none"/>
        </w:rPr>
      </w:pPr>
      <w:r>
        <w:rPr>
          <w:rFonts w:hint="eastAsia" w:ascii="宋体" w:hAnsi="宋体" w:cs="宋体"/>
          <w:color w:val="auto"/>
          <w:sz w:val="21"/>
          <w:szCs w:val="21"/>
          <w:highlight w:val="none"/>
        </w:rPr>
        <w:t>有线电视系统</w:t>
      </w:r>
    </w:p>
    <w:p>
      <w:pPr>
        <w:numPr>
          <w:ilvl w:val="0"/>
          <w:numId w:val="46"/>
        </w:numPr>
        <w:adjustRightInd w:val="0"/>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手术部（包含隔离待产、DSA、产房手术室）净化区域内在护工休息室、值班室、会议室或、公室内各设置 1 路供有线电视插座。</w:t>
      </w:r>
    </w:p>
    <w:p>
      <w:pPr>
        <w:pStyle w:val="9"/>
        <w:numPr>
          <w:ilvl w:val="0"/>
          <w:numId w:val="39"/>
        </w:numPr>
        <w:adjustRightInd w:val="0"/>
        <w:snapToGrid w:val="0"/>
        <w:spacing w:before="0" w:after="0" w:line="360" w:lineRule="auto"/>
        <w:rPr>
          <w:rFonts w:ascii="宋体" w:hAnsi="宋体" w:cs="宋体"/>
          <w:color w:val="auto"/>
          <w:sz w:val="21"/>
          <w:szCs w:val="21"/>
          <w:highlight w:val="none"/>
        </w:rPr>
      </w:pPr>
      <w:r>
        <w:rPr>
          <w:rFonts w:hint="eastAsia" w:ascii="宋体" w:hAnsi="宋体" w:cs="宋体"/>
          <w:color w:val="auto"/>
          <w:sz w:val="21"/>
          <w:szCs w:val="21"/>
          <w:highlight w:val="none"/>
        </w:rPr>
        <w:t>数字化系统</w:t>
      </w:r>
    </w:p>
    <w:p>
      <w:pPr>
        <w:adjustRightInd w:val="0"/>
        <w:snapToGrid w:val="0"/>
        <w:spacing w:line="360" w:lineRule="auto"/>
        <w:ind w:left="400"/>
        <w:rPr>
          <w:rFonts w:ascii="宋体" w:hAnsi="宋体" w:cs="宋体"/>
          <w:color w:val="auto"/>
          <w:szCs w:val="21"/>
          <w:highlight w:val="none"/>
        </w:rPr>
      </w:pPr>
      <w:r>
        <w:rPr>
          <w:rFonts w:hint="eastAsia" w:ascii="宋体" w:hAnsi="宋体" w:cs="宋体"/>
          <w:color w:val="auto"/>
          <w:szCs w:val="21"/>
          <w:highlight w:val="none"/>
        </w:rPr>
        <w:t>手术部设置1间数字化手术室，系统的硬件及软件系统在本次招标范围内，由净化中标方采购、安装。</w:t>
      </w:r>
    </w:p>
    <w:p>
      <w:pPr>
        <w:adjustRightInd w:val="0"/>
        <w:snapToGrid w:val="0"/>
        <w:spacing w:line="360" w:lineRule="auto"/>
        <w:ind w:left="400"/>
        <w:rPr>
          <w:rFonts w:ascii="宋体" w:hAnsi="宋体" w:cs="宋体"/>
          <w:color w:val="auto"/>
          <w:szCs w:val="21"/>
          <w:highlight w:val="none"/>
        </w:rPr>
      </w:pPr>
      <w:r>
        <w:rPr>
          <w:rFonts w:hint="eastAsia" w:ascii="宋体" w:hAnsi="宋体" w:cs="宋体"/>
          <w:color w:val="auto"/>
          <w:szCs w:val="21"/>
          <w:highlight w:val="none"/>
        </w:rPr>
        <w:t>数字化手术室技术要求：</w:t>
      </w:r>
    </w:p>
    <w:p>
      <w:pPr>
        <w:numPr>
          <w:ilvl w:val="0"/>
          <w:numId w:val="47"/>
        </w:numPr>
        <w:adjustRightInd w:val="0"/>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实现对手术室内手术相关影音及数据的集中管控，满足用户对于手术室内影像路由、切换、显示、影像资料本地存储、集中存储等需求。结合其他模块，同时满足手术室内影音信号对外传输，实现院内手术转播、院外手术转播的需求。</w:t>
      </w:r>
    </w:p>
    <w:p>
      <w:pPr>
        <w:numPr>
          <w:ilvl w:val="0"/>
          <w:numId w:val="47"/>
        </w:numPr>
        <w:adjustRightInd w:val="0"/>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影像处理能力不低于4K级别，并能兼容SD、HD、FHD级别，兼容2D和3D格式。</w:t>
      </w:r>
    </w:p>
    <w:p>
      <w:pPr>
        <w:numPr>
          <w:ilvl w:val="0"/>
          <w:numId w:val="47"/>
        </w:numPr>
        <w:adjustRightInd w:val="0"/>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模块化设计，可以安装不少于10个不同影像、声音、控制、电源、医疗设备控制等模块，便于系统未来升级和扩展。</w:t>
      </w:r>
    </w:p>
    <w:p>
      <w:pPr>
        <w:numPr>
          <w:ilvl w:val="0"/>
          <w:numId w:val="47"/>
        </w:numPr>
        <w:adjustRightInd w:val="0"/>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影像整合输入输出通道不少于16进16出，提供影像画中画功能，便于医生在同一画面观看不同影像，提高手术安全性。影像整合输入输出通道提供不少于4进4出的音频加嵌和解嵌功能，确保传输至手术室外的影音完全同步。</w:t>
      </w:r>
    </w:p>
    <w:p>
      <w:pPr>
        <w:numPr>
          <w:ilvl w:val="0"/>
          <w:numId w:val="47"/>
        </w:numPr>
        <w:adjustRightInd w:val="0"/>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接收不少于2个无线麦克风语音信号，提供不少于2个头戴式无线麦克风，具备一键式配对功能，实现手术录像时语音标注、手术转播时语音交流。最多可以连接超过8个吸顶音箱，满足各种面积手术室内扩声需求。</w:t>
      </w:r>
    </w:p>
    <w:p>
      <w:pPr>
        <w:numPr>
          <w:ilvl w:val="0"/>
          <w:numId w:val="47"/>
        </w:numPr>
        <w:adjustRightInd w:val="0"/>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可实现对手术室内影像进行存储，支持外接硬盘即插即录，影像录制为 MP4 格式，分别率不低于1920*1080。</w:t>
      </w:r>
    </w:p>
    <w:p>
      <w:pPr>
        <w:numPr>
          <w:ilvl w:val="0"/>
          <w:numId w:val="47"/>
        </w:numPr>
        <w:adjustRightInd w:val="0"/>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支持文字图片叠加功能，可在视频录像上直接叠加手术信息、医院徽标等文字和图案，保护医院知识产权。</w:t>
      </w:r>
    </w:p>
    <w:p>
      <w:pPr>
        <w:numPr>
          <w:ilvl w:val="0"/>
          <w:numId w:val="47"/>
        </w:numPr>
        <w:adjustRightInd w:val="0"/>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提供不少于2个连接手术室内外影音信号，实现对会议室、示教室最高质量标准的手术转播，分辨率不低于4K。</w:t>
      </w:r>
    </w:p>
    <w:p>
      <w:pPr>
        <w:numPr>
          <w:ilvl w:val="0"/>
          <w:numId w:val="47"/>
        </w:numPr>
        <w:adjustRightInd w:val="0"/>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可通过院内网络，与网络转播模块连接，实现与示教室、会议室手术转播，分辨率不低于1920*1080。</w:t>
      </w:r>
    </w:p>
    <w:p>
      <w:pPr>
        <w:numPr>
          <w:ilvl w:val="0"/>
          <w:numId w:val="47"/>
        </w:numPr>
        <w:adjustRightInd w:val="0"/>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吸顶音箱模块，采用天花板内嵌式设计，不影响手术室层流，而且更美观实现背景音乐播放、手术转播语音交流。</w:t>
      </w:r>
    </w:p>
    <w:p>
      <w:pPr>
        <w:numPr>
          <w:ilvl w:val="0"/>
          <w:numId w:val="47"/>
        </w:numPr>
        <w:adjustRightInd w:val="0"/>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全景摄像机模块 ，提供带云台方向控制的高清摄像机，能够将手术间的状况实时进行呈现，同时通过控制整合，在手术室的操作界面。视频输出具备3G-SDI和HDMI两路以上接口，可同时输出≥1920x1080分辨率全高清画面信号；最大光学变焦≥20倍、数字变焦≥12倍；具备RS232，RS485，红外三种遥控方式，可同时控制摄像机运动。</w:t>
      </w:r>
    </w:p>
    <w:p>
      <w:pPr>
        <w:numPr>
          <w:ilvl w:val="0"/>
          <w:numId w:val="47"/>
        </w:numPr>
        <w:adjustRightInd w:val="0"/>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配套内嵌式安装机柜，与墙面完全齐平，不影响手术室层流净化；提供良好通风散热条件，保障核心设备稳定运行。</w:t>
      </w:r>
    </w:p>
    <w:p>
      <w:pPr>
        <w:numPr>
          <w:ilvl w:val="0"/>
          <w:numId w:val="47"/>
        </w:numPr>
        <w:adjustRightInd w:val="0"/>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配置内嵌式护士工作站，符合手术室内感控需求，并且实现对手术室核心平台控制和操作，带触控功能用户控制屏幕，尺寸不少于21.5寸，数量不低于2个。可扩展整合连接医疗设备控制模块，控制内窥镜系统、第三方手术灯、术野摄像机、手术床、高频电刀。通过1个启动键，可启动核心平台和其他相关辅助设备。提供不少于2个控制按钮，可以切换至医疗设备控制模块和医院信息化工作站。提供不少于2个USB高速传输接口，连接移动硬盘、外接鼠标等设备。</w:t>
      </w:r>
    </w:p>
    <w:p>
      <w:pPr>
        <w:numPr>
          <w:ilvl w:val="0"/>
          <w:numId w:val="47"/>
        </w:numPr>
        <w:adjustRightInd w:val="0"/>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配置≥27寸医用级全高清监视器，分辨率不低于1920 x 1080，宽高比16：9。双屏显示功能，包括画中画、画外画模式等。</w:t>
      </w:r>
    </w:p>
    <w:p>
      <w:pPr>
        <w:numPr>
          <w:ilvl w:val="0"/>
          <w:numId w:val="47"/>
        </w:numPr>
        <w:adjustRightInd w:val="0"/>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配置4K显示器模块，实现手术间内画面的大尺寸（≥55寸）显示，支持内嵌式安装；安装在手术室墙壁上，供手术室内外成员观看，实现信息共享、示教和转播功能，分辨率3840*2160。</w:t>
      </w:r>
    </w:p>
    <w:p>
      <w:pPr>
        <w:numPr>
          <w:ilvl w:val="0"/>
          <w:numId w:val="47"/>
        </w:numPr>
        <w:adjustRightInd w:val="0"/>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配置手术区域手术录像的集中存储服务器。用户可在院内有效范围内，利用帐号和密码访问，进行在线查阅、下载或者删除手术录像的操作，所有影像输入输出接口支持视音频同步传输功能，影像整合能力不低于4K级别，并能兼容SD、HD、FHD级别。</w:t>
      </w:r>
    </w:p>
    <w:p>
      <w:pPr>
        <w:numPr>
          <w:ilvl w:val="0"/>
          <w:numId w:val="47"/>
        </w:numPr>
        <w:adjustRightInd w:val="0"/>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创造适合微创手术的蓝色灯光氛围，为LED平板蓝色手术室净化灯具，尺寸不大于150*1200*10mm，在手术室顶棚上均匀布置吸顶安装。</w:t>
      </w:r>
    </w:p>
    <w:p>
      <w:pPr>
        <w:numPr>
          <w:ilvl w:val="0"/>
          <w:numId w:val="47"/>
        </w:numPr>
        <w:adjustRightInd w:val="0"/>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配置光纤转播-影音双向模块，提供院内单模光纤，实现手术室与报告厅、示教室影音信号无损无延时双向交流，影像传输能力最高能够到达4K级别。提供2个信号预览屏幕模块，手术室与报告厅、示教室画面实时进行相互预览。提供视频信号分配功能，提供不少于2个视频信号环出功能，提供网络光纤接入功能，通过不少于2根单模光纤实现与手术室之前的网络互通。</w:t>
      </w:r>
    </w:p>
    <w:p>
      <w:pPr>
        <w:numPr>
          <w:ilvl w:val="0"/>
          <w:numId w:val="47"/>
        </w:numPr>
        <w:adjustRightInd w:val="0"/>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提供音频信号嵌入功能，将音频信号解嵌为立体声或者平衡音频信号输出至本地扩声设备。</w:t>
      </w:r>
    </w:p>
    <w:p>
      <w:pPr>
        <w:numPr>
          <w:ilvl w:val="0"/>
          <w:numId w:val="47"/>
        </w:numPr>
        <w:adjustRightInd w:val="0"/>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LED双母灯带显示器支臂，子母灯同一直径d:600≤d≤750mm，以利于层流净化，灯泡使用寿命: ≥50000小时；照明亮度: ≥160000 Lux,亮度调节范围:15%-100%；灯内配备高清摄像功能，高清摄像头不伸出灯罩表面，小巧不易损坏，不安装在灯头正中，以保证术中360度无死角拍摄，灯头内无线摄像传输。</w:t>
      </w:r>
    </w:p>
    <w:p>
      <w:pPr>
        <w:numPr>
          <w:ilvl w:val="0"/>
          <w:numId w:val="47"/>
        </w:numPr>
        <w:adjustRightInd w:val="0"/>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示教室配置要求：完成与医院儿科住院楼5层的临床技能中心多媒体教室、行政楼2层阶梯会议室的对接，含相关设备和安装。</w:t>
      </w:r>
    </w:p>
    <w:p>
      <w:pPr>
        <w:pStyle w:val="9"/>
        <w:numPr>
          <w:ilvl w:val="0"/>
          <w:numId w:val="16"/>
        </w:numPr>
        <w:spacing w:before="0" w:after="0" w:line="360" w:lineRule="auto"/>
        <w:rPr>
          <w:rFonts w:ascii="宋体" w:hAnsi="宋体" w:cs="宋体"/>
          <w:color w:val="auto"/>
          <w:sz w:val="21"/>
          <w:szCs w:val="21"/>
          <w:highlight w:val="none"/>
        </w:rPr>
      </w:pPr>
      <w:r>
        <w:rPr>
          <w:rFonts w:hint="eastAsia" w:ascii="宋体" w:hAnsi="宋体" w:cs="宋体"/>
          <w:color w:val="auto"/>
          <w:sz w:val="21"/>
          <w:szCs w:val="21"/>
          <w:highlight w:val="none"/>
        </w:rPr>
        <w:t>给排水系统工程技术要求</w:t>
      </w:r>
    </w:p>
    <w:p>
      <w:pPr>
        <w:numPr>
          <w:ilvl w:val="0"/>
          <w:numId w:val="48"/>
        </w:numPr>
        <w:adjustRightInd w:val="0"/>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手术室（包含DSA、隔离待产、产房手术室）净化区域内所有洁具及给排水系统楼层支管在本次招标范围内：招标方负责在同层水管井或科室内预留0.3～0.4Mpa的生活冷热水阀门接口，招标方负责提供50℃的循环热水，并按照中标方用水点要求负责招标范围</w:t>
      </w:r>
      <w:r>
        <w:rPr>
          <w:rFonts w:hint="eastAsia" w:ascii="宋体" w:hAnsi="宋体" w:cs="宋体"/>
          <w:color w:val="auto"/>
          <w:sz w:val="24"/>
          <w:highlight w:val="none"/>
        </w:rPr>
        <w:t>内</w:t>
      </w:r>
      <w:r>
        <w:rPr>
          <w:rFonts w:hint="eastAsia" w:ascii="宋体" w:hAnsi="宋体" w:cs="宋体"/>
          <w:color w:val="auto"/>
          <w:szCs w:val="21"/>
          <w:highlight w:val="none"/>
        </w:rPr>
        <w:t>给水管道系统； 招标方负责排水立管敷设，并预留接驳口，其后招标范围内洁具的采购及安装、洁具与排水立管的连接均由净化中标方负责。</w:t>
      </w:r>
    </w:p>
    <w:p>
      <w:pPr>
        <w:numPr>
          <w:ilvl w:val="0"/>
          <w:numId w:val="49"/>
        </w:numPr>
        <w:adjustRightInd w:val="0"/>
        <w:snapToGrid w:val="0"/>
        <w:spacing w:line="360" w:lineRule="auto"/>
        <w:ind w:left="26"/>
        <w:rPr>
          <w:rFonts w:ascii="宋体" w:hAnsi="宋体" w:cs="宋体"/>
          <w:color w:val="auto"/>
          <w:szCs w:val="21"/>
          <w:highlight w:val="none"/>
        </w:rPr>
      </w:pPr>
      <w:r>
        <w:rPr>
          <w:rFonts w:hint="eastAsia" w:ascii="宋体" w:hAnsi="宋体" w:cs="宋体"/>
          <w:color w:val="auto"/>
          <w:szCs w:val="21"/>
          <w:highlight w:val="none"/>
        </w:rPr>
        <w:t xml:space="preserve">手术室（包含DSA、隔离待产、产房手术室）净化区域内的冷水、热水管道采用给水薄壁不锈钢管（埋墙暗敷给水管采用覆膜不锈钢管），焊接。 </w:t>
      </w:r>
    </w:p>
    <w:p>
      <w:pPr>
        <w:numPr>
          <w:ilvl w:val="0"/>
          <w:numId w:val="49"/>
        </w:numPr>
        <w:adjustRightInd w:val="0"/>
        <w:snapToGrid w:val="0"/>
        <w:spacing w:line="360" w:lineRule="auto"/>
        <w:ind w:left="26"/>
        <w:rPr>
          <w:rFonts w:ascii="宋体" w:hAnsi="宋体" w:cs="宋体"/>
          <w:color w:val="auto"/>
          <w:szCs w:val="21"/>
          <w:highlight w:val="none"/>
        </w:rPr>
      </w:pPr>
      <w:r>
        <w:rPr>
          <w:rFonts w:hint="eastAsia" w:ascii="宋体" w:hAnsi="宋体" w:cs="宋体"/>
          <w:color w:val="auto"/>
          <w:szCs w:val="21"/>
          <w:highlight w:val="none"/>
        </w:rPr>
        <w:t>纯水、软水、蒸汽管道为304L不锈钢管道，焊接连接。</w:t>
      </w:r>
    </w:p>
    <w:p>
      <w:pPr>
        <w:numPr>
          <w:ilvl w:val="0"/>
          <w:numId w:val="49"/>
        </w:numPr>
        <w:adjustRightInd w:val="0"/>
        <w:snapToGrid w:val="0"/>
        <w:spacing w:line="360" w:lineRule="auto"/>
        <w:ind w:left="26"/>
        <w:rPr>
          <w:rFonts w:ascii="宋体" w:hAnsi="宋体" w:cs="宋体"/>
          <w:color w:val="auto"/>
          <w:szCs w:val="21"/>
          <w:highlight w:val="none"/>
        </w:rPr>
      </w:pPr>
      <w:r>
        <w:rPr>
          <w:rFonts w:hint="eastAsia" w:ascii="宋体" w:hAnsi="宋体" w:cs="宋体"/>
          <w:color w:val="auto"/>
          <w:szCs w:val="21"/>
          <w:highlight w:val="none"/>
        </w:rPr>
        <w:t>生活污、废水排水管道采用柔性铸铁管，不锈钢卡箍连接；供应室高温废水排水管采用无缝钢管，焊接连接。</w:t>
      </w:r>
    </w:p>
    <w:p>
      <w:pPr>
        <w:numPr>
          <w:ilvl w:val="0"/>
          <w:numId w:val="49"/>
        </w:numPr>
        <w:adjustRightInd w:val="0"/>
        <w:snapToGrid w:val="0"/>
        <w:spacing w:line="360" w:lineRule="auto"/>
        <w:ind w:left="26"/>
        <w:rPr>
          <w:rFonts w:ascii="宋体" w:hAnsi="宋体" w:cs="宋体"/>
          <w:color w:val="auto"/>
          <w:szCs w:val="21"/>
          <w:highlight w:val="none"/>
        </w:rPr>
      </w:pPr>
      <w:r>
        <w:rPr>
          <w:rFonts w:hint="eastAsia" w:ascii="宋体" w:hAnsi="宋体" w:cs="宋体"/>
          <w:color w:val="auto"/>
          <w:szCs w:val="21"/>
          <w:highlight w:val="none"/>
        </w:rPr>
        <w:t>卫生洁具应采用不易积存污物且易于清扫；洗手盆、污洗池均应设置冷、热水；数量及位置见发标平面图纸。</w:t>
      </w:r>
    </w:p>
    <w:p>
      <w:pPr>
        <w:numPr>
          <w:ilvl w:val="0"/>
          <w:numId w:val="49"/>
        </w:numPr>
        <w:adjustRightInd w:val="0"/>
        <w:snapToGrid w:val="0"/>
        <w:spacing w:line="360" w:lineRule="auto"/>
        <w:ind w:left="26"/>
        <w:rPr>
          <w:rFonts w:ascii="宋体" w:hAnsi="宋体" w:cs="宋体"/>
          <w:color w:val="auto"/>
          <w:szCs w:val="21"/>
          <w:highlight w:val="none"/>
        </w:rPr>
      </w:pPr>
      <w:r>
        <w:rPr>
          <w:rFonts w:hint="eastAsia" w:ascii="宋体" w:hAnsi="宋体" w:cs="宋体"/>
          <w:color w:val="auto"/>
          <w:szCs w:val="21"/>
          <w:highlight w:val="none"/>
        </w:rPr>
        <w:t>净化区内的排水设备，必须在排水口的下部设置高水封装置。</w:t>
      </w:r>
    </w:p>
    <w:p>
      <w:pPr>
        <w:widowControl/>
        <w:adjustRightInd w:val="0"/>
        <w:snapToGrid w:val="0"/>
        <w:spacing w:line="360" w:lineRule="auto"/>
        <w:ind w:left="420"/>
        <w:jc w:val="left"/>
        <w:outlineLvl w:val="1"/>
        <w:rPr>
          <w:rFonts w:ascii="宋体" w:hAnsi="宋体"/>
          <w:b/>
          <w:bCs/>
          <w:color w:val="auto"/>
          <w:sz w:val="28"/>
          <w:szCs w:val="28"/>
          <w:highlight w:val="none"/>
        </w:rPr>
      </w:pPr>
      <w:r>
        <w:rPr>
          <w:rFonts w:hint="eastAsia" w:ascii="宋体" w:hAnsi="宋体"/>
          <w:b/>
          <w:bCs/>
          <w:color w:val="auto"/>
          <w:sz w:val="28"/>
          <w:szCs w:val="28"/>
          <w:highlight w:val="none"/>
        </w:rPr>
        <w:t>第二节 PICU和MICU负压病房技术要求</w:t>
      </w:r>
    </w:p>
    <w:p>
      <w:pPr>
        <w:pStyle w:val="9"/>
        <w:numPr>
          <w:ilvl w:val="0"/>
          <w:numId w:val="50"/>
        </w:numPr>
        <w:spacing w:before="0" w:after="0" w:line="360" w:lineRule="auto"/>
        <w:rPr>
          <w:rFonts w:ascii="宋体" w:hAnsi="宋体" w:cs="宋体"/>
          <w:color w:val="auto"/>
          <w:sz w:val="21"/>
          <w:szCs w:val="21"/>
          <w:highlight w:val="none"/>
        </w:rPr>
      </w:pPr>
      <w:r>
        <w:rPr>
          <w:rFonts w:hint="eastAsia" w:ascii="宋体" w:hAnsi="宋体" w:cs="宋体"/>
          <w:color w:val="auto"/>
          <w:sz w:val="21"/>
          <w:szCs w:val="21"/>
          <w:highlight w:val="none"/>
        </w:rPr>
        <w:t>装饰系统技术要求</w:t>
      </w:r>
    </w:p>
    <w:p>
      <w:pPr>
        <w:pStyle w:val="9"/>
        <w:numPr>
          <w:ilvl w:val="0"/>
          <w:numId w:val="51"/>
        </w:numPr>
        <w:adjustRightInd w:val="0"/>
        <w:snapToGrid w:val="0"/>
        <w:spacing w:before="0" w:after="0" w:line="360" w:lineRule="auto"/>
        <w:rPr>
          <w:rFonts w:ascii="宋体" w:hAnsi="宋体" w:cs="宋体"/>
          <w:color w:val="auto"/>
          <w:sz w:val="21"/>
          <w:szCs w:val="21"/>
          <w:highlight w:val="none"/>
        </w:rPr>
      </w:pPr>
      <w:r>
        <w:rPr>
          <w:rFonts w:hint="eastAsia" w:ascii="宋体" w:hAnsi="宋体" w:cs="宋体"/>
          <w:color w:val="auto"/>
          <w:sz w:val="21"/>
          <w:szCs w:val="21"/>
          <w:highlight w:val="none"/>
        </w:rPr>
        <w:t>墙面：</w:t>
      </w:r>
    </w:p>
    <w:p>
      <w:pPr>
        <w:numPr>
          <w:ilvl w:val="0"/>
          <w:numId w:val="52"/>
        </w:numPr>
        <w:spacing w:line="360" w:lineRule="auto"/>
        <w:rPr>
          <w:rFonts w:ascii="宋体" w:hAnsi="宋体" w:cs="宋体"/>
          <w:color w:val="auto"/>
          <w:szCs w:val="21"/>
          <w:highlight w:val="none"/>
        </w:rPr>
      </w:pPr>
      <w:r>
        <w:rPr>
          <w:rFonts w:hint="eastAsia" w:ascii="宋体" w:hAnsi="宋体" w:cs="宋体"/>
          <w:color w:val="auto"/>
          <w:szCs w:val="21"/>
          <w:highlight w:val="none"/>
        </w:rPr>
        <w:t>负压病房区域所有墙面材料均采用75轻钢龙骨+12mm石膏板+无机预涂板。</w:t>
      </w:r>
    </w:p>
    <w:p>
      <w:pPr>
        <w:pStyle w:val="9"/>
        <w:numPr>
          <w:ilvl w:val="0"/>
          <w:numId w:val="51"/>
        </w:numPr>
        <w:adjustRightInd w:val="0"/>
        <w:snapToGrid w:val="0"/>
        <w:spacing w:before="0" w:after="0" w:line="360" w:lineRule="auto"/>
        <w:rPr>
          <w:rFonts w:ascii="宋体" w:hAnsi="宋体" w:cs="宋体"/>
          <w:color w:val="auto"/>
          <w:sz w:val="21"/>
          <w:szCs w:val="21"/>
          <w:highlight w:val="none"/>
        </w:rPr>
      </w:pPr>
      <w:r>
        <w:rPr>
          <w:rFonts w:hint="eastAsia" w:ascii="宋体" w:hAnsi="宋体" w:cs="宋体"/>
          <w:color w:val="auto"/>
          <w:sz w:val="21"/>
          <w:szCs w:val="21"/>
          <w:highlight w:val="none"/>
        </w:rPr>
        <w:t>地面：</w:t>
      </w:r>
    </w:p>
    <w:p>
      <w:pPr>
        <w:numPr>
          <w:ilvl w:val="0"/>
          <w:numId w:val="53"/>
        </w:numPr>
        <w:adjustRightInd w:val="0"/>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负压病房区域所有</w:t>
      </w:r>
      <w:r>
        <w:rPr>
          <w:rFonts w:hint="eastAsia" w:ascii="宋体" w:hAnsi="宋体" w:cs="宋体"/>
          <w:bCs/>
          <w:color w:val="auto"/>
          <w:szCs w:val="21"/>
          <w:highlight w:val="none"/>
        </w:rPr>
        <w:t>地面材料采用</w:t>
      </w:r>
      <w:r>
        <w:rPr>
          <w:rFonts w:hint="eastAsia" w:ascii="宋体" w:hAnsi="宋体" w:cs="宋体"/>
          <w:color w:val="auto"/>
          <w:szCs w:val="21"/>
          <w:highlight w:val="none"/>
        </w:rPr>
        <w:t>2.0mm厚，具有防静电、防滑、防潮、防火、防霉耐磨、耐腐蚀、易清洗同质透心的PVC卷材，3mm厚PVC专用地面超强自流平基层。</w:t>
      </w:r>
    </w:p>
    <w:p>
      <w:pPr>
        <w:numPr>
          <w:ilvl w:val="0"/>
          <w:numId w:val="53"/>
        </w:numPr>
        <w:spacing w:line="360" w:lineRule="auto"/>
        <w:rPr>
          <w:rFonts w:ascii="宋体" w:hAnsi="宋体" w:cs="宋体"/>
          <w:color w:val="auto"/>
          <w:szCs w:val="21"/>
          <w:highlight w:val="none"/>
        </w:rPr>
      </w:pPr>
      <w:r>
        <w:rPr>
          <w:rFonts w:hint="eastAsia" w:ascii="宋体" w:hAnsi="宋体" w:cs="宋体"/>
          <w:color w:val="auto"/>
          <w:szCs w:val="21"/>
          <w:highlight w:val="none"/>
        </w:rPr>
        <w:t>卷材铺设前必须采用优质自流平及界面处理剂处理。</w:t>
      </w:r>
    </w:p>
    <w:p>
      <w:pPr>
        <w:numPr>
          <w:ilvl w:val="0"/>
          <w:numId w:val="53"/>
        </w:numPr>
        <w:spacing w:line="360" w:lineRule="auto"/>
        <w:rPr>
          <w:rFonts w:ascii="宋体" w:hAnsi="宋体" w:cs="宋体"/>
          <w:color w:val="auto"/>
          <w:szCs w:val="21"/>
          <w:highlight w:val="none"/>
        </w:rPr>
      </w:pPr>
      <w:r>
        <w:rPr>
          <w:rFonts w:hint="eastAsia" w:ascii="宋体" w:hAnsi="宋体" w:cs="宋体"/>
          <w:color w:val="auto"/>
          <w:szCs w:val="21"/>
          <w:highlight w:val="none"/>
        </w:rPr>
        <w:t>招标区域内所有卷材与瓷砖交接处地面，均设置人造大理石门槛，门槛石均高于湿区地面10-20mm，与干区地面完成面齐平，湿区地面瓷砖施工均坡向地漏1%。其中范围线交界处地面门槛石均由招标方统一完成。</w:t>
      </w:r>
    </w:p>
    <w:p>
      <w:pPr>
        <w:pStyle w:val="3"/>
        <w:rPr>
          <w:color w:val="auto"/>
          <w:highlight w:val="none"/>
        </w:rPr>
      </w:pPr>
    </w:p>
    <w:p>
      <w:pPr>
        <w:pStyle w:val="9"/>
        <w:adjustRightInd w:val="0"/>
        <w:snapToGrid w:val="0"/>
        <w:spacing w:before="0" w:after="0" w:line="360" w:lineRule="auto"/>
        <w:rPr>
          <w:rFonts w:ascii="宋体" w:hAnsi="宋体" w:cs="宋体"/>
          <w:color w:val="auto"/>
          <w:sz w:val="21"/>
          <w:szCs w:val="21"/>
          <w:highlight w:val="none"/>
        </w:rPr>
      </w:pPr>
      <w:r>
        <w:rPr>
          <w:rFonts w:hint="eastAsia" w:ascii="宋体" w:hAnsi="宋体" w:cs="宋体"/>
          <w:color w:val="auto"/>
          <w:sz w:val="21"/>
          <w:szCs w:val="21"/>
          <w:highlight w:val="none"/>
        </w:rPr>
        <w:t>PVC卷材技术参数:</w:t>
      </w:r>
    </w:p>
    <w:p>
      <w:pPr>
        <w:numPr>
          <w:ilvl w:val="0"/>
          <w:numId w:val="54"/>
        </w:numPr>
        <w:spacing w:line="360" w:lineRule="auto"/>
        <w:ind w:left="420"/>
        <w:rPr>
          <w:rFonts w:ascii="宋体" w:hAnsi="宋体" w:cs="宋体"/>
          <w:color w:val="auto"/>
          <w:szCs w:val="21"/>
          <w:highlight w:val="none"/>
        </w:rPr>
      </w:pPr>
      <w:r>
        <w:rPr>
          <w:rFonts w:hint="eastAsia" w:ascii="宋体" w:hAnsi="宋体" w:cs="宋体"/>
          <w:color w:val="auto"/>
          <w:szCs w:val="21"/>
          <w:highlight w:val="none"/>
        </w:rPr>
        <w:t>类型：厚度2.0mm花纹透底型、无方向性花纹、同质透心PVC卷材</w:t>
      </w:r>
    </w:p>
    <w:p>
      <w:pPr>
        <w:numPr>
          <w:ilvl w:val="0"/>
          <w:numId w:val="54"/>
        </w:numPr>
        <w:spacing w:line="360" w:lineRule="auto"/>
        <w:ind w:left="420"/>
        <w:rPr>
          <w:rFonts w:ascii="宋体" w:hAnsi="宋体" w:cs="宋体"/>
          <w:color w:val="auto"/>
          <w:szCs w:val="21"/>
          <w:highlight w:val="none"/>
        </w:rPr>
      </w:pPr>
      <w:r>
        <w:rPr>
          <w:rFonts w:hint="eastAsia" w:ascii="宋体" w:hAnsi="宋体" w:cs="宋体"/>
          <w:color w:val="auto"/>
          <w:szCs w:val="21"/>
          <w:highlight w:val="none"/>
        </w:rPr>
        <w:t>耐磨等级：根据EN660-2：1999+A1：2003和EN649：2011要求测定:≥T级。</w:t>
      </w:r>
    </w:p>
    <w:p>
      <w:pPr>
        <w:numPr>
          <w:ilvl w:val="0"/>
          <w:numId w:val="54"/>
        </w:numPr>
        <w:spacing w:line="360" w:lineRule="auto"/>
        <w:ind w:left="420"/>
        <w:rPr>
          <w:rFonts w:ascii="宋体" w:hAnsi="宋体" w:cs="宋体"/>
          <w:color w:val="auto"/>
          <w:szCs w:val="21"/>
          <w:highlight w:val="none"/>
        </w:rPr>
      </w:pPr>
      <w:r>
        <w:rPr>
          <w:rFonts w:hint="eastAsia" w:ascii="宋体" w:hAnsi="宋体" w:cs="宋体"/>
          <w:color w:val="auto"/>
          <w:szCs w:val="21"/>
          <w:highlight w:val="none"/>
        </w:rPr>
        <w:t>耐磨性：根据GB/T 4085-2005要求测定≈0.04。</w:t>
      </w:r>
    </w:p>
    <w:p>
      <w:pPr>
        <w:numPr>
          <w:ilvl w:val="0"/>
          <w:numId w:val="54"/>
        </w:numPr>
        <w:spacing w:line="360" w:lineRule="auto"/>
        <w:ind w:left="420"/>
        <w:rPr>
          <w:rFonts w:ascii="宋体" w:hAnsi="宋体" w:cs="宋体"/>
          <w:color w:val="auto"/>
          <w:szCs w:val="21"/>
          <w:highlight w:val="none"/>
        </w:rPr>
      </w:pPr>
      <w:r>
        <w:rPr>
          <w:rFonts w:hint="eastAsia" w:ascii="宋体" w:hAnsi="宋体" w:cs="宋体"/>
          <w:color w:val="auto"/>
          <w:szCs w:val="21"/>
          <w:highlight w:val="none"/>
        </w:rPr>
        <w:t>防火等级：符合GB8624-2012判定：该产品燃烧性能达到难燃B1(B-s1,t0)级。</w:t>
      </w:r>
    </w:p>
    <w:p>
      <w:pPr>
        <w:numPr>
          <w:ilvl w:val="0"/>
          <w:numId w:val="54"/>
        </w:numPr>
        <w:spacing w:line="360" w:lineRule="auto"/>
        <w:ind w:left="420"/>
        <w:rPr>
          <w:rFonts w:ascii="宋体" w:hAnsi="宋体" w:cs="宋体"/>
          <w:color w:val="auto"/>
          <w:szCs w:val="21"/>
          <w:highlight w:val="none"/>
        </w:rPr>
      </w:pPr>
      <w:r>
        <w:rPr>
          <w:rFonts w:hint="eastAsia" w:ascii="宋体" w:hAnsi="宋体" w:cs="宋体"/>
          <w:color w:val="auto"/>
          <w:szCs w:val="21"/>
          <w:highlight w:val="none"/>
        </w:rPr>
        <w:t>有害物质检测：应符合GB18586-2001要求测定，未检出氯乙烯单体、可溶性重金属（铅、镉），挥发物符合要求。</w:t>
      </w:r>
    </w:p>
    <w:p>
      <w:pPr>
        <w:numPr>
          <w:ilvl w:val="0"/>
          <w:numId w:val="54"/>
        </w:numPr>
        <w:spacing w:line="360" w:lineRule="auto"/>
        <w:ind w:left="420"/>
        <w:rPr>
          <w:rFonts w:ascii="宋体" w:hAnsi="宋体" w:cs="宋体"/>
          <w:color w:val="auto"/>
          <w:szCs w:val="21"/>
          <w:highlight w:val="none"/>
        </w:rPr>
      </w:pPr>
      <w:r>
        <w:rPr>
          <w:rFonts w:hint="eastAsia" w:ascii="宋体" w:hAnsi="宋体" w:cs="宋体"/>
          <w:color w:val="auto"/>
          <w:szCs w:val="21"/>
          <w:highlight w:val="none"/>
        </w:rPr>
        <w:t>单位面积重量：符合GB/T11982.1-2015要求测定，</w:t>
      </w:r>
      <w:r>
        <w:rPr>
          <w:rFonts w:ascii="宋体" w:hAnsi="宋体" w:cs="宋体"/>
          <w:color w:val="auto"/>
          <w:szCs w:val="21"/>
          <w:highlight w:val="none"/>
        </w:rPr>
        <w:t>≈</w:t>
      </w:r>
      <w:r>
        <w:rPr>
          <w:rFonts w:hint="eastAsia" w:ascii="宋体" w:hAnsi="宋体" w:cs="宋体"/>
          <w:color w:val="auto"/>
          <w:szCs w:val="21"/>
          <w:highlight w:val="none"/>
        </w:rPr>
        <w:t>2</w:t>
      </w:r>
      <w:r>
        <w:rPr>
          <w:rFonts w:hint="eastAsia" w:ascii="宋体" w:hAnsi="宋体" w:cs="宋体"/>
          <w:color w:val="auto"/>
          <w:szCs w:val="21"/>
          <w:highlight w:val="none"/>
          <w:lang w:val="en-US" w:eastAsia="zh-CN"/>
        </w:rPr>
        <w:t>.</w:t>
      </w:r>
      <w:r>
        <w:rPr>
          <w:rFonts w:hint="eastAsia" w:ascii="宋体" w:hAnsi="宋体" w:cs="宋体"/>
          <w:color w:val="auto"/>
          <w:szCs w:val="21"/>
          <w:highlight w:val="none"/>
        </w:rPr>
        <w:t>75kg/㎡。</w:t>
      </w:r>
    </w:p>
    <w:p>
      <w:pPr>
        <w:numPr>
          <w:ilvl w:val="0"/>
          <w:numId w:val="54"/>
        </w:numPr>
        <w:spacing w:line="360" w:lineRule="auto"/>
        <w:ind w:left="420"/>
        <w:rPr>
          <w:rFonts w:ascii="宋体" w:hAnsi="宋体" w:cs="宋体"/>
          <w:color w:val="auto"/>
          <w:szCs w:val="21"/>
          <w:highlight w:val="none"/>
        </w:rPr>
      </w:pPr>
      <w:r>
        <w:rPr>
          <w:rFonts w:hint="eastAsia" w:ascii="宋体" w:hAnsi="宋体" w:cs="宋体"/>
          <w:color w:val="auto"/>
          <w:szCs w:val="21"/>
          <w:highlight w:val="none"/>
        </w:rPr>
        <w:t>焊接强度：应符合EN684-1996，≥620 N/50 mm。</w:t>
      </w:r>
    </w:p>
    <w:p>
      <w:pPr>
        <w:numPr>
          <w:ilvl w:val="0"/>
          <w:numId w:val="54"/>
        </w:numPr>
        <w:spacing w:line="360" w:lineRule="auto"/>
        <w:ind w:left="420"/>
        <w:rPr>
          <w:rFonts w:ascii="宋体" w:hAnsi="宋体" w:cs="宋体"/>
          <w:color w:val="auto"/>
          <w:szCs w:val="21"/>
          <w:highlight w:val="none"/>
        </w:rPr>
      </w:pPr>
      <w:r>
        <w:rPr>
          <w:rFonts w:hint="eastAsia" w:ascii="宋体" w:hAnsi="宋体" w:cs="宋体"/>
          <w:color w:val="auto"/>
          <w:szCs w:val="21"/>
          <w:highlight w:val="none"/>
        </w:rPr>
        <w:t>防滑性：应符合EN14014和EN13893要求，达到技术等级DS。</w:t>
      </w:r>
    </w:p>
    <w:p>
      <w:pPr>
        <w:numPr>
          <w:ilvl w:val="0"/>
          <w:numId w:val="54"/>
        </w:numPr>
        <w:spacing w:line="360" w:lineRule="auto"/>
        <w:ind w:left="420"/>
        <w:rPr>
          <w:rFonts w:ascii="宋体" w:hAnsi="宋体" w:cs="宋体"/>
          <w:color w:val="auto"/>
          <w:szCs w:val="21"/>
          <w:highlight w:val="none"/>
        </w:rPr>
      </w:pPr>
      <w:r>
        <w:rPr>
          <w:rFonts w:hint="eastAsia" w:ascii="宋体" w:hAnsi="宋体" w:cs="宋体"/>
          <w:color w:val="auto"/>
          <w:szCs w:val="21"/>
          <w:highlight w:val="none"/>
        </w:rPr>
        <w:t>TVOC（挥发有机化合物）检测：符合挥发物有机化合物测试要求测定，结果≤10µg/m3 。</w:t>
      </w:r>
    </w:p>
    <w:p>
      <w:pPr>
        <w:numPr>
          <w:ilvl w:val="0"/>
          <w:numId w:val="54"/>
        </w:numPr>
        <w:spacing w:line="360" w:lineRule="auto"/>
        <w:ind w:left="420"/>
        <w:rPr>
          <w:rFonts w:ascii="宋体" w:hAnsi="宋体" w:cs="宋体"/>
          <w:color w:val="auto"/>
          <w:szCs w:val="21"/>
          <w:highlight w:val="none"/>
        </w:rPr>
      </w:pPr>
      <w:r>
        <w:rPr>
          <w:rFonts w:hint="eastAsia" w:ascii="宋体" w:hAnsi="宋体" w:cs="宋体"/>
          <w:color w:val="auto"/>
          <w:szCs w:val="21"/>
          <w:highlight w:val="none"/>
        </w:rPr>
        <w:t>同质透心PVC卷材地板VOCs、醛酮化合物检测：28天后排放量通过ISO16000-9：2006/COR1-2007、ISO16000-6：2011、ISO16000-3：2011测试，（苯、甲苯、乙苯、间/对二甲苯、邻二甲苯、苯乙烯、正十一烷、1，4-对二氧笨、TVOC、甲醛、乙醛）测试结果均为：ND，未检出。</w:t>
      </w:r>
    </w:p>
    <w:p>
      <w:pPr>
        <w:numPr>
          <w:ilvl w:val="0"/>
          <w:numId w:val="54"/>
        </w:numPr>
        <w:spacing w:line="360" w:lineRule="auto"/>
        <w:ind w:left="420"/>
        <w:rPr>
          <w:rFonts w:ascii="宋体" w:hAnsi="宋体" w:cs="宋体"/>
          <w:color w:val="auto"/>
          <w:szCs w:val="21"/>
          <w:highlight w:val="none"/>
        </w:rPr>
      </w:pPr>
      <w:r>
        <w:rPr>
          <w:rFonts w:hint="eastAsia" w:ascii="宋体" w:hAnsi="宋体" w:cs="宋体"/>
          <w:color w:val="auto"/>
          <w:szCs w:val="21"/>
          <w:highlight w:val="none"/>
        </w:rPr>
        <w:t>甲醛测试：应符合GB18580-2001要求，未检出。</w:t>
      </w:r>
    </w:p>
    <w:p>
      <w:pPr>
        <w:numPr>
          <w:ilvl w:val="0"/>
          <w:numId w:val="54"/>
        </w:numPr>
        <w:spacing w:line="360" w:lineRule="auto"/>
        <w:ind w:left="420"/>
        <w:rPr>
          <w:color w:val="auto"/>
          <w:highlight w:val="none"/>
        </w:rPr>
      </w:pPr>
      <w:r>
        <w:rPr>
          <w:rFonts w:hint="eastAsia" w:ascii="宋体" w:hAnsi="宋体" w:cs="宋体"/>
          <w:color w:val="auto"/>
          <w:szCs w:val="21"/>
          <w:highlight w:val="none"/>
        </w:rPr>
        <w:t>防滑等级：符合DIN 51130要求测定，≥R9。</w:t>
      </w:r>
    </w:p>
    <w:p>
      <w:pPr>
        <w:numPr>
          <w:ilvl w:val="0"/>
          <w:numId w:val="54"/>
        </w:numPr>
        <w:spacing w:line="360" w:lineRule="auto"/>
        <w:ind w:left="420"/>
        <w:rPr>
          <w:color w:val="auto"/>
          <w:highlight w:val="none"/>
        </w:rPr>
      </w:pPr>
      <w:r>
        <w:rPr>
          <w:rFonts w:hint="eastAsia" w:ascii="宋体" w:hAnsi="宋体" w:cs="宋体"/>
          <w:color w:val="auto"/>
          <w:szCs w:val="21"/>
          <w:highlight w:val="none"/>
        </w:rPr>
        <w:t>洁净室认证：满足ISO 14644-1标准，测试等级为ISO Class 3级</w:t>
      </w:r>
    </w:p>
    <w:p>
      <w:pPr>
        <w:pStyle w:val="9"/>
        <w:numPr>
          <w:ilvl w:val="0"/>
          <w:numId w:val="51"/>
        </w:numPr>
        <w:adjustRightInd w:val="0"/>
        <w:snapToGrid w:val="0"/>
        <w:spacing w:before="0" w:after="0" w:line="360" w:lineRule="auto"/>
        <w:rPr>
          <w:rFonts w:ascii="宋体" w:hAnsi="宋体" w:cs="宋体"/>
          <w:color w:val="auto"/>
          <w:sz w:val="21"/>
          <w:szCs w:val="21"/>
          <w:highlight w:val="none"/>
        </w:rPr>
      </w:pPr>
      <w:r>
        <w:rPr>
          <w:rFonts w:hint="eastAsia" w:ascii="宋体" w:hAnsi="宋体" w:cs="宋体"/>
          <w:color w:val="auto"/>
          <w:sz w:val="21"/>
          <w:szCs w:val="21"/>
          <w:highlight w:val="none"/>
        </w:rPr>
        <w:t>天花：</w:t>
      </w:r>
    </w:p>
    <w:p>
      <w:pPr>
        <w:numPr>
          <w:ilvl w:val="0"/>
          <w:numId w:val="55"/>
        </w:numPr>
        <w:spacing w:line="360" w:lineRule="auto"/>
        <w:rPr>
          <w:rFonts w:ascii="宋体" w:hAnsi="宋体" w:cs="宋体"/>
          <w:color w:val="auto"/>
          <w:szCs w:val="21"/>
          <w:highlight w:val="none"/>
        </w:rPr>
      </w:pPr>
      <w:r>
        <w:rPr>
          <w:rFonts w:hint="eastAsia" w:ascii="宋体" w:hAnsi="宋体" w:cs="宋体"/>
          <w:color w:val="auto"/>
          <w:szCs w:val="21"/>
          <w:highlight w:val="none"/>
        </w:rPr>
        <w:t>负压病房区域所有</w:t>
      </w:r>
      <w:r>
        <w:rPr>
          <w:rFonts w:hint="eastAsia" w:ascii="宋体" w:hAnsi="宋体" w:cs="宋体"/>
          <w:bCs/>
          <w:color w:val="auto"/>
          <w:szCs w:val="21"/>
          <w:highlight w:val="none"/>
        </w:rPr>
        <w:t>地面</w:t>
      </w:r>
      <w:r>
        <w:rPr>
          <w:rFonts w:hint="eastAsia" w:ascii="宋体" w:hAnsi="宋体" w:cs="宋体"/>
          <w:color w:val="auto"/>
          <w:szCs w:val="21"/>
          <w:highlight w:val="none"/>
        </w:rPr>
        <w:t>顶面材料均采用轻钢龙骨+9.5mm石膏板+洁菌板。</w:t>
      </w:r>
    </w:p>
    <w:p>
      <w:pPr>
        <w:numPr>
          <w:ilvl w:val="0"/>
          <w:numId w:val="56"/>
        </w:numPr>
        <w:adjustRightInd w:val="0"/>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当吊顶内吊杆长度大于1.5米，吊顶内应按《建筑装饰装修工程施工质量验收规范》要求设置反支撑。</w:t>
      </w:r>
    </w:p>
    <w:p>
      <w:pPr>
        <w:pStyle w:val="9"/>
        <w:numPr>
          <w:ilvl w:val="0"/>
          <w:numId w:val="50"/>
        </w:numPr>
        <w:spacing w:before="0" w:after="0"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净化空调及自动化控制系统工程技术要求 </w:t>
      </w:r>
    </w:p>
    <w:p>
      <w:pPr>
        <w:numPr>
          <w:ilvl w:val="0"/>
          <w:numId w:val="57"/>
        </w:numPr>
        <w:adjustRightInd w:val="0"/>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负压病房采用自取新风形式，各科室按使用分区和建筑防火分区合理配置空调系统。</w:t>
      </w:r>
    </w:p>
    <w:p>
      <w:pPr>
        <w:numPr>
          <w:ilvl w:val="0"/>
          <w:numId w:val="57"/>
        </w:numPr>
        <w:adjustRightInd w:val="0"/>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本净化工程的加湿方式为采用电热式加湿器加湿，组合式净化循环空调机组均需配置。</w:t>
      </w:r>
    </w:p>
    <w:p>
      <w:pPr>
        <w:numPr>
          <w:ilvl w:val="0"/>
          <w:numId w:val="57"/>
        </w:numPr>
        <w:adjustRightInd w:val="0"/>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除特殊要求外，本工程风管采用优质镀锌钢板风管。空调供回水管管径小于DN</w:t>
      </w:r>
      <w:r>
        <w:rPr>
          <w:rFonts w:ascii="宋体" w:hAnsi="宋体" w:cs="宋体"/>
          <w:color w:val="auto"/>
          <w:szCs w:val="21"/>
          <w:highlight w:val="none"/>
        </w:rPr>
        <w:t>80</w:t>
      </w:r>
      <w:r>
        <w:rPr>
          <w:rFonts w:hint="eastAsia" w:ascii="宋体" w:hAnsi="宋体" w:cs="宋体"/>
          <w:color w:val="auto"/>
          <w:szCs w:val="21"/>
          <w:highlight w:val="none"/>
        </w:rPr>
        <w:t>采用热镀锌钢管，螺纹连接；大于等于DN</w:t>
      </w:r>
      <w:r>
        <w:rPr>
          <w:rFonts w:ascii="宋体" w:hAnsi="宋体" w:cs="宋体"/>
          <w:color w:val="auto"/>
          <w:szCs w:val="21"/>
          <w:highlight w:val="none"/>
        </w:rPr>
        <w:t>80</w:t>
      </w:r>
      <w:r>
        <w:rPr>
          <w:rFonts w:hint="eastAsia" w:ascii="宋体" w:hAnsi="宋体" w:cs="宋体"/>
          <w:color w:val="auto"/>
          <w:szCs w:val="21"/>
          <w:highlight w:val="none"/>
        </w:rPr>
        <w:t>采用无缝钢管，焊接。冷凝水管道采用镀锌钢管，螺纹连接。加湿器管道采用镀锌钢管，螺纹连接。</w:t>
      </w:r>
    </w:p>
    <w:p>
      <w:pPr>
        <w:numPr>
          <w:ilvl w:val="0"/>
          <w:numId w:val="57"/>
        </w:numPr>
        <w:adjustRightInd w:val="0"/>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风管保温采用B1级厚30mm橡塑保温板，室外风管保温采用B1级厚30mm橡塑保温板外加铝箔保护层。</w:t>
      </w:r>
    </w:p>
    <w:p>
      <w:pPr>
        <w:numPr>
          <w:ilvl w:val="0"/>
          <w:numId w:val="57"/>
        </w:numPr>
        <w:adjustRightInd w:val="0"/>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洁净用房的排风口百叶片应选用竖向可调叶片，并应设置中效过滤器。</w:t>
      </w:r>
    </w:p>
    <w:p>
      <w:pPr>
        <w:numPr>
          <w:ilvl w:val="0"/>
          <w:numId w:val="57"/>
        </w:numPr>
        <w:adjustRightInd w:val="0"/>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净化空调系统至少设置三级空气过滤，各级过滤器应采用一次抛弃型。末级过滤器使用风量不宜大于其额定风量的70%。</w:t>
      </w:r>
    </w:p>
    <w:p>
      <w:pPr>
        <w:numPr>
          <w:ilvl w:val="0"/>
          <w:numId w:val="57"/>
        </w:numPr>
        <w:adjustRightInd w:val="0"/>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应采用防雨性能良好的新风口，新风管路上应设过滤器、密闭风阀。</w:t>
      </w:r>
    </w:p>
    <w:p>
      <w:pPr>
        <w:numPr>
          <w:ilvl w:val="0"/>
          <w:numId w:val="57"/>
        </w:numPr>
        <w:adjustRightInd w:val="0"/>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净化空调机组的空调水设计为四管制系统，非洁净区空调机组、风机盘管采用二管制配置。儿科住院楼三层PICU负压病房、四层MICU负压病房设置独立冷热源。</w:t>
      </w:r>
    </w:p>
    <w:p>
      <w:pPr>
        <w:pStyle w:val="9"/>
        <w:numPr>
          <w:ilvl w:val="0"/>
          <w:numId w:val="50"/>
        </w:numPr>
        <w:spacing w:before="0" w:after="0" w:line="360" w:lineRule="auto"/>
        <w:rPr>
          <w:rFonts w:ascii="宋体" w:hAnsi="宋体" w:cs="宋体"/>
          <w:color w:val="auto"/>
          <w:sz w:val="21"/>
          <w:szCs w:val="21"/>
          <w:highlight w:val="none"/>
        </w:rPr>
      </w:pPr>
      <w:r>
        <w:rPr>
          <w:rFonts w:hint="eastAsia" w:ascii="宋体" w:hAnsi="宋体" w:cs="宋体"/>
          <w:color w:val="auto"/>
          <w:sz w:val="21"/>
          <w:szCs w:val="21"/>
          <w:highlight w:val="none"/>
        </w:rPr>
        <w:t>净化空调自动化控制系统设计要求</w:t>
      </w:r>
    </w:p>
    <w:p>
      <w:pPr>
        <w:numPr>
          <w:ilvl w:val="0"/>
          <w:numId w:val="58"/>
        </w:numPr>
        <w:adjustRightInd w:val="0"/>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整体要求：采用国际著名品牌多功能控制器、温、湿度传感器，压差开关、风阀执行器、电动比例积分三通调节阀、变频器等对系统的风量及温湿度进行控制。</w:t>
      </w:r>
    </w:p>
    <w:p>
      <w:pPr>
        <w:numPr>
          <w:ilvl w:val="0"/>
          <w:numId w:val="58"/>
        </w:numPr>
        <w:adjustRightInd w:val="0"/>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ab/>
      </w:r>
      <w:r>
        <w:rPr>
          <w:rFonts w:hint="eastAsia" w:ascii="宋体" w:hAnsi="宋体" w:cs="宋体"/>
          <w:color w:val="auto"/>
          <w:szCs w:val="21"/>
          <w:highlight w:val="none"/>
        </w:rPr>
        <w:t>净化循环机组（含自取新风机组）每个系统设置一个单联空调控制面板。集中净化新风机组不设置控制面板，由循环机组联动控制。净化空调控制系统的控制必需满足机房本地控制和洁净室控制的功能需求。</w:t>
      </w:r>
    </w:p>
    <w:p>
      <w:pPr>
        <w:numPr>
          <w:ilvl w:val="0"/>
          <w:numId w:val="58"/>
        </w:numPr>
        <w:adjustRightInd w:val="0"/>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室内空调控制面板应可以实现以下的控制功能：</w:t>
      </w:r>
    </w:p>
    <w:p>
      <w:pPr>
        <w:pStyle w:val="49"/>
        <w:numPr>
          <w:ilvl w:val="0"/>
          <w:numId w:val="31"/>
        </w:numPr>
        <w:spacing w:line="360" w:lineRule="auto"/>
        <w:ind w:firstLineChars="0"/>
        <w:rPr>
          <w:rFonts w:ascii="宋体" w:hAnsi="宋体" w:cs="宋体"/>
          <w:color w:val="auto"/>
          <w:szCs w:val="21"/>
          <w:highlight w:val="none"/>
        </w:rPr>
      </w:pPr>
      <w:r>
        <w:rPr>
          <w:rFonts w:hint="eastAsia" w:ascii="宋体" w:hAnsi="宋体" w:cs="宋体"/>
          <w:color w:val="auto"/>
          <w:szCs w:val="21"/>
          <w:highlight w:val="none"/>
        </w:rPr>
        <w:t>机组启、停；</w:t>
      </w:r>
    </w:p>
    <w:p>
      <w:pPr>
        <w:pStyle w:val="49"/>
        <w:numPr>
          <w:ilvl w:val="0"/>
          <w:numId w:val="31"/>
        </w:numPr>
        <w:spacing w:line="360" w:lineRule="auto"/>
        <w:ind w:firstLineChars="0"/>
        <w:rPr>
          <w:rFonts w:ascii="宋体" w:hAnsi="宋体" w:cs="宋体"/>
          <w:color w:val="auto"/>
          <w:szCs w:val="21"/>
          <w:highlight w:val="none"/>
        </w:rPr>
      </w:pPr>
      <w:r>
        <w:rPr>
          <w:rFonts w:hint="eastAsia" w:ascii="宋体" w:hAnsi="宋体" w:cs="宋体"/>
          <w:color w:val="auto"/>
          <w:szCs w:val="21"/>
          <w:highlight w:val="none"/>
        </w:rPr>
        <w:t>温度的设定；</w:t>
      </w:r>
    </w:p>
    <w:p>
      <w:pPr>
        <w:pStyle w:val="49"/>
        <w:numPr>
          <w:ilvl w:val="0"/>
          <w:numId w:val="31"/>
        </w:numPr>
        <w:spacing w:line="360" w:lineRule="auto"/>
        <w:ind w:firstLineChars="0"/>
        <w:rPr>
          <w:rFonts w:ascii="宋体" w:hAnsi="宋体" w:cs="宋体"/>
          <w:bCs/>
          <w:color w:val="auto"/>
          <w:szCs w:val="21"/>
          <w:highlight w:val="none"/>
        </w:rPr>
      </w:pPr>
      <w:r>
        <w:rPr>
          <w:rFonts w:hint="eastAsia" w:ascii="宋体" w:hAnsi="宋体" w:cs="宋体"/>
          <w:bCs/>
          <w:color w:val="auto"/>
          <w:szCs w:val="21"/>
          <w:highlight w:val="none"/>
        </w:rPr>
        <w:t>室内温、湿度的显示</w:t>
      </w:r>
      <w:r>
        <w:rPr>
          <w:rFonts w:hint="eastAsia" w:ascii="宋体" w:hAnsi="宋体" w:cs="宋体"/>
          <w:bCs/>
          <w:color w:val="auto"/>
          <w:spacing w:val="-10"/>
          <w:szCs w:val="21"/>
          <w:highlight w:val="none"/>
        </w:rPr>
        <w:t>；</w:t>
      </w:r>
    </w:p>
    <w:p>
      <w:pPr>
        <w:pStyle w:val="49"/>
        <w:numPr>
          <w:ilvl w:val="0"/>
          <w:numId w:val="31"/>
        </w:numPr>
        <w:spacing w:line="360" w:lineRule="auto"/>
        <w:ind w:firstLineChars="0"/>
        <w:rPr>
          <w:rFonts w:ascii="宋体" w:hAnsi="宋体" w:cs="宋体"/>
          <w:color w:val="auto"/>
          <w:szCs w:val="21"/>
          <w:highlight w:val="none"/>
        </w:rPr>
      </w:pPr>
      <w:r>
        <w:rPr>
          <w:rFonts w:hint="eastAsia" w:ascii="宋体" w:hAnsi="宋体" w:cs="宋体"/>
          <w:color w:val="auto"/>
          <w:szCs w:val="21"/>
          <w:highlight w:val="none"/>
        </w:rPr>
        <w:t>机组值班状态指示；</w:t>
      </w:r>
    </w:p>
    <w:p>
      <w:pPr>
        <w:pStyle w:val="49"/>
        <w:numPr>
          <w:ilvl w:val="0"/>
          <w:numId w:val="31"/>
        </w:numPr>
        <w:spacing w:line="360" w:lineRule="auto"/>
        <w:ind w:firstLineChars="0"/>
        <w:rPr>
          <w:rFonts w:ascii="宋体" w:hAnsi="宋体" w:cs="宋体"/>
          <w:color w:val="auto"/>
          <w:szCs w:val="21"/>
          <w:highlight w:val="none"/>
        </w:rPr>
      </w:pPr>
      <w:r>
        <w:rPr>
          <w:rFonts w:hint="eastAsia" w:ascii="宋体" w:hAnsi="宋体" w:cs="宋体"/>
          <w:color w:val="auto"/>
          <w:szCs w:val="21"/>
          <w:highlight w:val="none"/>
        </w:rPr>
        <w:t>机组运行指示；</w:t>
      </w:r>
    </w:p>
    <w:p>
      <w:pPr>
        <w:pStyle w:val="49"/>
        <w:numPr>
          <w:ilvl w:val="0"/>
          <w:numId w:val="31"/>
        </w:numPr>
        <w:spacing w:line="360" w:lineRule="auto"/>
        <w:ind w:firstLineChars="0"/>
        <w:rPr>
          <w:rFonts w:ascii="宋体" w:hAnsi="宋体" w:cs="宋体"/>
          <w:color w:val="auto"/>
          <w:szCs w:val="21"/>
          <w:highlight w:val="none"/>
        </w:rPr>
      </w:pPr>
      <w:r>
        <w:rPr>
          <w:rFonts w:hint="eastAsia" w:ascii="宋体" w:hAnsi="宋体" w:cs="宋体"/>
          <w:color w:val="auto"/>
          <w:szCs w:val="21"/>
          <w:highlight w:val="none"/>
        </w:rPr>
        <w:t>机组故障指示；</w:t>
      </w:r>
    </w:p>
    <w:p>
      <w:pPr>
        <w:pStyle w:val="49"/>
        <w:numPr>
          <w:ilvl w:val="0"/>
          <w:numId w:val="31"/>
        </w:numPr>
        <w:spacing w:line="360" w:lineRule="auto"/>
        <w:ind w:firstLineChars="0"/>
        <w:rPr>
          <w:rFonts w:ascii="宋体" w:hAnsi="宋体" w:cs="宋体"/>
          <w:color w:val="auto"/>
          <w:szCs w:val="21"/>
          <w:highlight w:val="none"/>
        </w:rPr>
      </w:pPr>
      <w:r>
        <w:rPr>
          <w:rFonts w:hint="eastAsia" w:ascii="宋体" w:hAnsi="宋体" w:cs="宋体"/>
          <w:color w:val="auto"/>
          <w:spacing w:val="-10"/>
          <w:szCs w:val="21"/>
          <w:highlight w:val="none"/>
        </w:rPr>
        <w:t>室内外压差显示；</w:t>
      </w:r>
    </w:p>
    <w:p>
      <w:pPr>
        <w:pStyle w:val="49"/>
        <w:numPr>
          <w:ilvl w:val="0"/>
          <w:numId w:val="31"/>
        </w:numPr>
        <w:spacing w:line="360" w:lineRule="auto"/>
        <w:ind w:firstLineChars="0"/>
        <w:rPr>
          <w:rFonts w:ascii="宋体" w:hAnsi="宋体" w:cs="宋体"/>
          <w:color w:val="auto"/>
          <w:szCs w:val="21"/>
          <w:highlight w:val="none"/>
        </w:rPr>
      </w:pPr>
      <w:r>
        <w:rPr>
          <w:rFonts w:hint="eastAsia" w:ascii="宋体" w:hAnsi="宋体" w:cs="宋体"/>
          <w:color w:val="auto"/>
          <w:szCs w:val="21"/>
          <w:highlight w:val="none"/>
        </w:rPr>
        <w:t>带通讯模块，提供通用协议，信息可供外部调用。</w:t>
      </w:r>
    </w:p>
    <w:p>
      <w:pPr>
        <w:numPr>
          <w:ilvl w:val="0"/>
          <w:numId w:val="58"/>
        </w:numPr>
        <w:adjustRightInd w:val="0"/>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机房控制柜内还应可以实现以下的控制功能：</w:t>
      </w:r>
    </w:p>
    <w:p>
      <w:pPr>
        <w:pStyle w:val="49"/>
        <w:numPr>
          <w:ilvl w:val="0"/>
          <w:numId w:val="59"/>
        </w:numPr>
        <w:spacing w:line="360" w:lineRule="auto"/>
        <w:ind w:firstLineChars="0"/>
        <w:rPr>
          <w:rFonts w:ascii="宋体" w:hAnsi="宋体" w:cs="宋体"/>
          <w:color w:val="auto"/>
          <w:szCs w:val="21"/>
          <w:highlight w:val="none"/>
        </w:rPr>
      </w:pPr>
      <w:r>
        <w:rPr>
          <w:rFonts w:hint="eastAsia" w:ascii="宋体" w:hAnsi="宋体" w:cs="宋体"/>
          <w:color w:val="auto"/>
          <w:szCs w:val="21"/>
          <w:highlight w:val="none"/>
        </w:rPr>
        <w:t>室内控制面板实现的全部功能；</w:t>
      </w:r>
    </w:p>
    <w:p>
      <w:pPr>
        <w:pStyle w:val="49"/>
        <w:numPr>
          <w:ilvl w:val="0"/>
          <w:numId w:val="59"/>
        </w:numPr>
        <w:spacing w:line="360" w:lineRule="auto"/>
        <w:ind w:firstLineChars="0"/>
        <w:rPr>
          <w:rFonts w:ascii="宋体" w:hAnsi="宋体" w:cs="宋体"/>
          <w:color w:val="auto"/>
          <w:szCs w:val="21"/>
          <w:highlight w:val="none"/>
        </w:rPr>
      </w:pPr>
      <w:r>
        <w:rPr>
          <w:rFonts w:hint="eastAsia" w:ascii="宋体" w:hAnsi="宋体" w:cs="宋体"/>
          <w:color w:val="auto"/>
          <w:szCs w:val="21"/>
          <w:highlight w:val="none"/>
        </w:rPr>
        <w:t>风机运行频率显示；</w:t>
      </w:r>
    </w:p>
    <w:p>
      <w:pPr>
        <w:pStyle w:val="49"/>
        <w:numPr>
          <w:ilvl w:val="0"/>
          <w:numId w:val="59"/>
        </w:numPr>
        <w:spacing w:line="360" w:lineRule="auto"/>
        <w:ind w:firstLineChars="0"/>
        <w:rPr>
          <w:rFonts w:ascii="宋体" w:hAnsi="宋体" w:cs="宋体"/>
          <w:color w:val="auto"/>
          <w:szCs w:val="21"/>
          <w:highlight w:val="none"/>
        </w:rPr>
      </w:pPr>
      <w:r>
        <w:rPr>
          <w:rFonts w:hint="eastAsia" w:ascii="宋体" w:hAnsi="宋体" w:cs="宋体"/>
          <w:color w:val="auto"/>
          <w:szCs w:val="21"/>
          <w:highlight w:val="none"/>
        </w:rPr>
        <w:t>中效过滤网堵塞报警、缺风保护报警、风机运行情况及过载报警、洁净室排风机运行状态显示、加湿器运行状态和故障显示等；</w:t>
      </w:r>
    </w:p>
    <w:p>
      <w:pPr>
        <w:pStyle w:val="49"/>
        <w:numPr>
          <w:ilvl w:val="0"/>
          <w:numId w:val="59"/>
        </w:numPr>
        <w:spacing w:line="360" w:lineRule="auto"/>
        <w:ind w:firstLineChars="0"/>
        <w:rPr>
          <w:rFonts w:ascii="宋体" w:hAnsi="宋体" w:cs="宋体"/>
          <w:color w:val="auto"/>
          <w:szCs w:val="21"/>
          <w:highlight w:val="none"/>
        </w:rPr>
      </w:pPr>
      <w:r>
        <w:rPr>
          <w:rFonts w:hint="eastAsia" w:ascii="宋体" w:hAnsi="宋体" w:cs="宋体"/>
          <w:color w:val="auto"/>
          <w:szCs w:val="21"/>
          <w:highlight w:val="none"/>
        </w:rPr>
        <w:t>手、自动风量调频切换；</w:t>
      </w:r>
    </w:p>
    <w:p>
      <w:pPr>
        <w:pStyle w:val="49"/>
        <w:numPr>
          <w:ilvl w:val="0"/>
          <w:numId w:val="59"/>
        </w:numPr>
        <w:spacing w:line="360" w:lineRule="auto"/>
        <w:ind w:firstLineChars="0"/>
        <w:rPr>
          <w:rFonts w:ascii="宋体" w:hAnsi="宋体" w:cs="宋体"/>
          <w:color w:val="auto"/>
          <w:szCs w:val="21"/>
          <w:highlight w:val="none"/>
        </w:rPr>
      </w:pPr>
      <w:r>
        <w:rPr>
          <w:rFonts w:hint="eastAsia" w:ascii="宋体" w:hAnsi="宋体" w:cs="宋体"/>
          <w:color w:val="auto"/>
          <w:szCs w:val="21"/>
          <w:highlight w:val="none"/>
        </w:rPr>
        <w:t>冷热水调节阀、加湿器和电加热器工作状态；</w:t>
      </w:r>
    </w:p>
    <w:p>
      <w:pPr>
        <w:pStyle w:val="49"/>
        <w:numPr>
          <w:ilvl w:val="0"/>
          <w:numId w:val="59"/>
        </w:numPr>
        <w:spacing w:line="360" w:lineRule="auto"/>
        <w:ind w:firstLineChars="0"/>
        <w:rPr>
          <w:rFonts w:ascii="宋体" w:hAnsi="宋体" w:cs="宋体"/>
          <w:color w:val="auto"/>
          <w:szCs w:val="21"/>
          <w:highlight w:val="none"/>
        </w:rPr>
      </w:pPr>
      <w:r>
        <w:rPr>
          <w:rFonts w:hint="eastAsia" w:ascii="宋体" w:hAnsi="宋体" w:cs="宋体"/>
          <w:color w:val="auto"/>
          <w:szCs w:val="21"/>
          <w:highlight w:val="none"/>
        </w:rPr>
        <w:t>试灯和功能切换；</w:t>
      </w:r>
    </w:p>
    <w:p>
      <w:pPr>
        <w:pStyle w:val="49"/>
        <w:numPr>
          <w:ilvl w:val="0"/>
          <w:numId w:val="59"/>
        </w:numPr>
        <w:spacing w:line="360" w:lineRule="auto"/>
        <w:ind w:firstLineChars="0"/>
        <w:rPr>
          <w:rFonts w:ascii="宋体" w:hAnsi="宋体" w:cs="宋体"/>
          <w:color w:val="auto"/>
          <w:szCs w:val="21"/>
          <w:highlight w:val="none"/>
        </w:rPr>
      </w:pPr>
      <w:r>
        <w:rPr>
          <w:rFonts w:hint="eastAsia" w:ascii="宋体" w:hAnsi="宋体" w:cs="宋体"/>
          <w:color w:val="auto"/>
          <w:szCs w:val="21"/>
          <w:highlight w:val="none"/>
        </w:rPr>
        <w:t>各种控制参数（室内温、湿度；变频器频率等）的设定和修改。</w:t>
      </w:r>
    </w:p>
    <w:p>
      <w:pPr>
        <w:pStyle w:val="9"/>
        <w:numPr>
          <w:ilvl w:val="0"/>
          <w:numId w:val="50"/>
        </w:numPr>
        <w:spacing w:before="0" w:after="0" w:line="360" w:lineRule="auto"/>
        <w:rPr>
          <w:rFonts w:ascii="宋体" w:hAnsi="宋体" w:cs="宋体"/>
          <w:color w:val="auto"/>
          <w:sz w:val="21"/>
          <w:szCs w:val="21"/>
          <w:highlight w:val="none"/>
        </w:rPr>
      </w:pPr>
      <w:r>
        <w:rPr>
          <w:rFonts w:hint="eastAsia" w:ascii="宋体" w:hAnsi="宋体" w:cs="宋体"/>
          <w:color w:val="auto"/>
          <w:sz w:val="21"/>
          <w:szCs w:val="21"/>
          <w:highlight w:val="none"/>
        </w:rPr>
        <w:t>强电系统工程技术要求</w:t>
      </w:r>
    </w:p>
    <w:p>
      <w:pPr>
        <w:pStyle w:val="9"/>
        <w:adjustRightInd w:val="0"/>
        <w:snapToGrid w:val="0"/>
        <w:spacing w:before="0" w:after="0" w:line="360" w:lineRule="auto"/>
        <w:ind w:left="420"/>
        <w:rPr>
          <w:rFonts w:ascii="宋体" w:hAnsi="宋体" w:cs="宋体"/>
          <w:color w:val="auto"/>
          <w:sz w:val="21"/>
          <w:szCs w:val="21"/>
          <w:highlight w:val="none"/>
        </w:rPr>
      </w:pPr>
      <w:r>
        <w:rPr>
          <w:rFonts w:hint="eastAsia" w:ascii="宋体" w:hAnsi="宋体" w:cs="宋体"/>
          <w:color w:val="auto"/>
          <w:sz w:val="21"/>
          <w:szCs w:val="21"/>
          <w:highlight w:val="none"/>
        </w:rPr>
        <w:t>1</w:t>
      </w:r>
      <w:r>
        <w:rPr>
          <w:rFonts w:ascii="宋体" w:hAnsi="宋体" w:cs="宋体"/>
          <w:color w:val="auto"/>
          <w:sz w:val="21"/>
          <w:szCs w:val="21"/>
          <w:highlight w:val="none"/>
        </w:rPr>
        <w:t>.</w:t>
      </w:r>
      <w:r>
        <w:rPr>
          <w:rFonts w:hint="eastAsia" w:ascii="宋体" w:hAnsi="宋体" w:cs="宋体"/>
          <w:color w:val="auto"/>
          <w:sz w:val="21"/>
          <w:szCs w:val="21"/>
          <w:highlight w:val="none"/>
        </w:rPr>
        <w:t>系统设计要求</w:t>
      </w:r>
    </w:p>
    <w:p>
      <w:pPr>
        <w:numPr>
          <w:ilvl w:val="0"/>
          <w:numId w:val="60"/>
        </w:numPr>
        <w:spacing w:line="360" w:lineRule="auto"/>
        <w:rPr>
          <w:rFonts w:ascii="宋体" w:hAnsi="宋体" w:cs="宋体"/>
          <w:color w:val="auto"/>
          <w:szCs w:val="21"/>
          <w:highlight w:val="none"/>
        </w:rPr>
      </w:pPr>
      <w:r>
        <w:rPr>
          <w:rFonts w:hint="eastAsia" w:ascii="宋体" w:hAnsi="宋体" w:cs="宋体"/>
          <w:color w:val="auto"/>
          <w:szCs w:val="21"/>
          <w:highlight w:val="none"/>
        </w:rPr>
        <w:t>　招标方将双电源线引至负压病房及空调机房外双电源切换总配电箱内，配电箱及其之后所有的桥架、线管、电源线、照明、插座等工程全部由中标方采购、安装。</w:t>
      </w:r>
    </w:p>
    <w:p>
      <w:pPr>
        <w:numPr>
          <w:ilvl w:val="0"/>
          <w:numId w:val="60"/>
        </w:numPr>
        <w:spacing w:line="360" w:lineRule="auto"/>
        <w:rPr>
          <w:rFonts w:ascii="宋体" w:hAnsi="宋体" w:cs="宋体"/>
          <w:color w:val="auto"/>
          <w:szCs w:val="21"/>
          <w:highlight w:val="none"/>
        </w:rPr>
      </w:pPr>
      <w:r>
        <w:rPr>
          <w:rFonts w:hint="eastAsia" w:ascii="宋体" w:hAnsi="宋体" w:cs="宋体"/>
          <w:color w:val="auto"/>
          <w:szCs w:val="21"/>
          <w:highlight w:val="none"/>
        </w:rPr>
        <w:t>照明应采用医用LED平板灯，满足洁净环境气密性要求禁用普通灯带代替，灯带必须布置在送风口之外。</w:t>
      </w:r>
    </w:p>
    <w:p>
      <w:pPr>
        <w:numPr>
          <w:ilvl w:val="0"/>
          <w:numId w:val="60"/>
        </w:numPr>
        <w:spacing w:line="360" w:lineRule="auto"/>
        <w:rPr>
          <w:rFonts w:ascii="宋体" w:hAnsi="宋体" w:cs="宋体"/>
          <w:color w:val="auto"/>
          <w:szCs w:val="21"/>
          <w:highlight w:val="none"/>
        </w:rPr>
      </w:pPr>
      <w:r>
        <w:rPr>
          <w:rFonts w:hint="eastAsia" w:ascii="宋体" w:hAnsi="宋体" w:cs="宋体"/>
          <w:color w:val="auto"/>
          <w:szCs w:val="21"/>
          <w:highlight w:val="none"/>
        </w:rPr>
        <w:t>负压病房设计平均照度应在300LX以上，其余辅房及走廊平均照度应在100LX以上；</w:t>
      </w:r>
    </w:p>
    <w:p>
      <w:pPr>
        <w:numPr>
          <w:ilvl w:val="0"/>
          <w:numId w:val="60"/>
        </w:numPr>
        <w:adjustRightInd w:val="0"/>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电缆采用无卤低烟阻燃交联聚乙烯绝缘聚烯烃护套铜芯电力电缆。</w:t>
      </w:r>
    </w:p>
    <w:p>
      <w:pPr>
        <w:numPr>
          <w:ilvl w:val="0"/>
          <w:numId w:val="60"/>
        </w:numPr>
        <w:adjustRightInd w:val="0"/>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电缆、电线应采用金属管及金属桥架敷设</w:t>
      </w:r>
    </w:p>
    <w:p>
      <w:pPr>
        <w:pStyle w:val="9"/>
        <w:numPr>
          <w:ilvl w:val="0"/>
          <w:numId w:val="61"/>
        </w:numPr>
        <w:adjustRightInd w:val="0"/>
        <w:snapToGrid w:val="0"/>
        <w:spacing w:before="0" w:after="0" w:line="360" w:lineRule="auto"/>
        <w:rPr>
          <w:rFonts w:ascii="宋体" w:hAnsi="宋体" w:cs="宋体"/>
          <w:color w:val="auto"/>
          <w:sz w:val="21"/>
          <w:szCs w:val="21"/>
          <w:highlight w:val="none"/>
        </w:rPr>
      </w:pPr>
      <w:r>
        <w:rPr>
          <w:rFonts w:hint="eastAsia" w:ascii="宋体" w:hAnsi="宋体" w:cs="宋体"/>
          <w:color w:val="auto"/>
          <w:sz w:val="21"/>
          <w:szCs w:val="21"/>
          <w:highlight w:val="none"/>
        </w:rPr>
        <w:t>隔离变压器技术参数</w:t>
      </w:r>
    </w:p>
    <w:p>
      <w:pPr>
        <w:numPr>
          <w:ilvl w:val="0"/>
          <w:numId w:val="62"/>
        </w:numPr>
        <w:spacing w:line="360" w:lineRule="auto"/>
        <w:rPr>
          <w:rFonts w:ascii="宋体" w:hAnsi="宋体" w:cs="宋体"/>
          <w:bCs/>
          <w:color w:val="auto"/>
          <w:szCs w:val="21"/>
          <w:highlight w:val="none"/>
        </w:rPr>
      </w:pPr>
      <w:r>
        <w:rPr>
          <w:rFonts w:hint="eastAsia" w:ascii="宋体" w:hAnsi="宋体" w:cs="宋体"/>
          <w:bCs/>
          <w:color w:val="auto"/>
          <w:szCs w:val="21"/>
          <w:highlight w:val="none"/>
        </w:rPr>
        <w:t>医用IT隔离电源系统，符合中华人民共和国国标GB16895.24（IEC60364-7-710）《建筑物电气装置第7-710部分 对特殊装置或场所的要求-医疗场所》的相关标准。</w:t>
      </w:r>
    </w:p>
    <w:p>
      <w:pPr>
        <w:numPr>
          <w:ilvl w:val="0"/>
          <w:numId w:val="62"/>
        </w:numPr>
        <w:spacing w:line="360" w:lineRule="auto"/>
        <w:rPr>
          <w:rFonts w:ascii="宋体" w:hAnsi="宋体" w:cs="宋体"/>
          <w:bCs/>
          <w:color w:val="auto"/>
          <w:szCs w:val="21"/>
          <w:highlight w:val="none"/>
        </w:rPr>
      </w:pPr>
      <w:r>
        <w:rPr>
          <w:rFonts w:hint="eastAsia" w:ascii="宋体" w:hAnsi="宋体" w:cs="宋体"/>
          <w:bCs/>
          <w:color w:val="auto"/>
          <w:szCs w:val="21"/>
          <w:highlight w:val="none"/>
        </w:rPr>
        <w:t>医用</w:t>
      </w:r>
      <w:r>
        <w:rPr>
          <w:rFonts w:hint="eastAsia"/>
          <w:color w:val="auto"/>
          <w:highlight w:val="none"/>
        </w:rPr>
        <w:t>IT 隔离电源系统设置在ICU负压病房，系统包括</w:t>
      </w:r>
      <w:r>
        <w:rPr>
          <w:rFonts w:hint="eastAsia" w:ascii="宋体" w:hAnsi="宋体" w:cs="宋体"/>
          <w:bCs/>
          <w:color w:val="auto"/>
          <w:szCs w:val="21"/>
          <w:highlight w:val="none"/>
        </w:rPr>
        <w:t>单相220V</w:t>
      </w:r>
      <w:r>
        <w:rPr>
          <w:rFonts w:hint="eastAsia"/>
          <w:color w:val="auto"/>
          <w:highlight w:val="none"/>
        </w:rPr>
        <w:t>隔离变压器(PICU负压病房设置1套 8KVA，MICU负压病房设置1套 6.3KVA)、</w:t>
      </w:r>
      <w:r>
        <w:rPr>
          <w:rFonts w:hint="eastAsia" w:ascii="宋体" w:hAnsi="宋体" w:cs="宋体"/>
          <w:bCs/>
          <w:color w:val="auto"/>
          <w:szCs w:val="21"/>
          <w:highlight w:val="none"/>
        </w:rPr>
        <w:t>绝缘监视仪、电流互感器、外接报警显示和控制单元，须有绝缘阻值（绝缘阻值最小60KΩ报警）、过负荷、超温实时监控、断线及其它自身故障监控等功能。</w:t>
      </w:r>
    </w:p>
    <w:p>
      <w:pPr>
        <w:numPr>
          <w:ilvl w:val="0"/>
          <w:numId w:val="62"/>
        </w:numPr>
        <w:spacing w:line="360" w:lineRule="auto"/>
        <w:rPr>
          <w:rFonts w:ascii="宋体" w:hAnsi="宋体" w:cs="宋体"/>
          <w:bCs/>
          <w:color w:val="auto"/>
          <w:szCs w:val="21"/>
          <w:highlight w:val="none"/>
        </w:rPr>
      </w:pPr>
      <w:r>
        <w:rPr>
          <w:rFonts w:hint="eastAsia" w:ascii="宋体" w:hAnsi="宋体" w:cs="宋体"/>
          <w:bCs/>
          <w:color w:val="auto"/>
          <w:szCs w:val="21"/>
          <w:highlight w:val="none"/>
        </w:rPr>
        <w:t>医用单相隔离变压器应符合IEC61558-2-15/GB19212.16-2005《医疗场所供电用隔离变压器的特殊要求》标准。变压器应具有医用变压器的专用标识。</w:t>
      </w:r>
    </w:p>
    <w:p>
      <w:pPr>
        <w:numPr>
          <w:ilvl w:val="0"/>
          <w:numId w:val="62"/>
        </w:numPr>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 绝缘监视仪应符合IEC61557-8和IEC60364-7-710标准，并采用先进的电子测量技术进行检测，以提高本系统抗干扰能力和测量精度，实时且精确监视直流回路的IT电网各项参数及系统状态。</w:t>
      </w:r>
    </w:p>
    <w:p>
      <w:pPr>
        <w:numPr>
          <w:ilvl w:val="0"/>
          <w:numId w:val="62"/>
        </w:numPr>
        <w:spacing w:line="360" w:lineRule="auto"/>
        <w:rPr>
          <w:rFonts w:ascii="宋体" w:hAnsi="宋体" w:cs="宋体"/>
          <w:bCs/>
          <w:color w:val="auto"/>
          <w:szCs w:val="21"/>
          <w:highlight w:val="none"/>
        </w:rPr>
      </w:pPr>
      <w:r>
        <w:rPr>
          <w:rFonts w:hint="eastAsia" w:ascii="宋体" w:hAnsi="宋体" w:cs="宋体"/>
          <w:bCs/>
          <w:color w:val="auto"/>
          <w:szCs w:val="21"/>
          <w:highlight w:val="none"/>
        </w:rPr>
        <w:t>外接报警显示和控制单元可实时指示故障类型，发出声光报警，并可手动命令监护仪自检。</w:t>
      </w:r>
    </w:p>
    <w:p>
      <w:pPr>
        <w:numPr>
          <w:ilvl w:val="0"/>
          <w:numId w:val="62"/>
        </w:numPr>
        <w:spacing w:line="360" w:lineRule="auto"/>
        <w:rPr>
          <w:rFonts w:ascii="宋体" w:hAnsi="宋体" w:cs="宋体"/>
          <w:bCs/>
          <w:color w:val="auto"/>
          <w:szCs w:val="21"/>
          <w:highlight w:val="none"/>
        </w:rPr>
      </w:pPr>
      <w:r>
        <w:rPr>
          <w:rFonts w:hint="eastAsia" w:ascii="宋体" w:hAnsi="宋体" w:cs="宋体"/>
          <w:bCs/>
          <w:color w:val="auto"/>
          <w:szCs w:val="21"/>
          <w:highlight w:val="none"/>
        </w:rPr>
        <w:t>配置高精度的变比为50/0.05A电流互感器。</w:t>
      </w:r>
    </w:p>
    <w:p>
      <w:pPr>
        <w:pStyle w:val="3"/>
        <w:rPr>
          <w:rFonts w:ascii="宋体" w:hAnsi="宋体" w:cs="宋体"/>
          <w:b/>
          <w:bCs/>
          <w:color w:val="auto"/>
          <w:szCs w:val="21"/>
          <w:highlight w:val="none"/>
        </w:rPr>
      </w:pPr>
      <w:r>
        <w:rPr>
          <w:rFonts w:ascii="宋体" w:hAnsi="宋体" w:cs="宋体"/>
          <w:b/>
          <w:bCs/>
          <w:color w:val="auto"/>
          <w:szCs w:val="21"/>
          <w:highlight w:val="none"/>
        </w:rPr>
        <w:t>3</w:t>
      </w:r>
      <w:r>
        <w:rPr>
          <w:rFonts w:hint="eastAsia" w:ascii="宋体" w:hAnsi="宋体" w:cs="宋体"/>
          <w:b/>
          <w:bCs/>
          <w:color w:val="auto"/>
          <w:szCs w:val="21"/>
          <w:highlight w:val="none"/>
        </w:rPr>
        <w:t>、UPS技术参数</w:t>
      </w:r>
    </w:p>
    <w:p>
      <w:pPr>
        <w:numPr>
          <w:ilvl w:val="0"/>
          <w:numId w:val="63"/>
        </w:numPr>
        <w:spacing w:line="360" w:lineRule="auto"/>
        <w:rPr>
          <w:rFonts w:ascii="宋体" w:hAnsi="宋体" w:cs="宋体"/>
          <w:bCs/>
          <w:color w:val="auto"/>
          <w:szCs w:val="21"/>
          <w:highlight w:val="none"/>
        </w:rPr>
      </w:pPr>
      <w:r>
        <w:rPr>
          <w:rFonts w:hint="eastAsia" w:ascii="宋体" w:hAnsi="宋体" w:cs="宋体"/>
          <w:bCs/>
          <w:color w:val="auto"/>
          <w:szCs w:val="21"/>
          <w:highlight w:val="none"/>
        </w:rPr>
        <w:t>380V/220V输入，220V输出；</w:t>
      </w:r>
    </w:p>
    <w:p>
      <w:pPr>
        <w:numPr>
          <w:ilvl w:val="0"/>
          <w:numId w:val="63"/>
        </w:numPr>
        <w:spacing w:line="360" w:lineRule="auto"/>
        <w:rPr>
          <w:rFonts w:ascii="宋体" w:hAnsi="宋体" w:cs="宋体"/>
          <w:bCs/>
          <w:color w:val="auto"/>
          <w:szCs w:val="21"/>
          <w:highlight w:val="none"/>
        </w:rPr>
      </w:pPr>
      <w:r>
        <w:rPr>
          <w:rFonts w:hint="eastAsia" w:ascii="宋体" w:hAnsi="宋体" w:cs="宋体"/>
          <w:bCs/>
          <w:color w:val="auto"/>
          <w:szCs w:val="21"/>
          <w:highlight w:val="none"/>
        </w:rPr>
        <w:t>一体化设计,厚度不能超过40CM,夹墙靠墙安装,全正面维护；</w:t>
      </w:r>
    </w:p>
    <w:p>
      <w:pPr>
        <w:numPr>
          <w:ilvl w:val="0"/>
          <w:numId w:val="63"/>
        </w:numPr>
        <w:spacing w:line="360" w:lineRule="auto"/>
        <w:rPr>
          <w:rFonts w:ascii="宋体" w:hAnsi="宋体" w:cs="宋体"/>
          <w:bCs/>
          <w:color w:val="auto"/>
          <w:szCs w:val="21"/>
          <w:highlight w:val="none"/>
        </w:rPr>
      </w:pPr>
      <w:r>
        <w:rPr>
          <w:rFonts w:hint="eastAsia" w:ascii="宋体" w:hAnsi="宋体" w:cs="宋体"/>
          <w:bCs/>
          <w:color w:val="auto"/>
          <w:szCs w:val="21"/>
          <w:highlight w:val="none"/>
        </w:rPr>
        <w:t>从两侧进冷风,上部排风散热；</w:t>
      </w:r>
    </w:p>
    <w:p>
      <w:pPr>
        <w:numPr>
          <w:ilvl w:val="0"/>
          <w:numId w:val="63"/>
        </w:numPr>
        <w:spacing w:line="360" w:lineRule="auto"/>
        <w:rPr>
          <w:rFonts w:ascii="宋体" w:hAnsi="宋体" w:cs="宋体"/>
          <w:bCs/>
          <w:color w:val="auto"/>
          <w:szCs w:val="21"/>
          <w:highlight w:val="none"/>
        </w:rPr>
      </w:pPr>
      <w:r>
        <w:rPr>
          <w:rFonts w:hint="eastAsia" w:ascii="宋体" w:hAnsi="宋体" w:cs="宋体"/>
          <w:bCs/>
          <w:color w:val="auto"/>
          <w:szCs w:val="21"/>
          <w:highlight w:val="none"/>
        </w:rPr>
        <w:t>内置隔离变压器工频主机；</w:t>
      </w:r>
    </w:p>
    <w:p>
      <w:pPr>
        <w:numPr>
          <w:ilvl w:val="0"/>
          <w:numId w:val="63"/>
        </w:numPr>
        <w:spacing w:line="360" w:lineRule="auto"/>
        <w:rPr>
          <w:rFonts w:ascii="宋体" w:hAnsi="宋体" w:cs="宋体"/>
          <w:bCs/>
          <w:color w:val="auto"/>
          <w:szCs w:val="21"/>
          <w:highlight w:val="none"/>
        </w:rPr>
      </w:pPr>
      <w:r>
        <w:rPr>
          <w:rFonts w:hint="eastAsia" w:ascii="宋体" w:hAnsi="宋体" w:cs="宋体"/>
          <w:bCs/>
          <w:color w:val="auto"/>
          <w:szCs w:val="21"/>
          <w:highlight w:val="none"/>
        </w:rPr>
        <w:t>后备延时</w:t>
      </w:r>
      <w:r>
        <w:rPr>
          <w:rFonts w:ascii="宋体" w:hAnsi="宋体" w:cs="宋体"/>
          <w:bCs/>
          <w:color w:val="auto"/>
          <w:szCs w:val="21"/>
          <w:highlight w:val="none"/>
        </w:rPr>
        <w:t>30</w:t>
      </w:r>
      <w:r>
        <w:rPr>
          <w:rFonts w:hint="eastAsia" w:ascii="宋体" w:hAnsi="宋体" w:cs="宋体"/>
          <w:bCs/>
          <w:color w:val="auto"/>
          <w:szCs w:val="21"/>
          <w:highlight w:val="none"/>
        </w:rPr>
        <w:t>分钟满载（可扩容）；</w:t>
      </w:r>
    </w:p>
    <w:p>
      <w:pPr>
        <w:numPr>
          <w:ilvl w:val="0"/>
          <w:numId w:val="63"/>
        </w:numPr>
        <w:spacing w:line="360" w:lineRule="auto"/>
        <w:rPr>
          <w:rFonts w:ascii="宋体" w:hAnsi="宋体" w:cs="宋体"/>
          <w:bCs/>
          <w:color w:val="auto"/>
          <w:szCs w:val="21"/>
          <w:highlight w:val="none"/>
        </w:rPr>
      </w:pPr>
      <w:r>
        <w:rPr>
          <w:rFonts w:hint="eastAsia" w:ascii="宋体" w:hAnsi="宋体" w:cs="宋体"/>
          <w:bCs/>
          <w:color w:val="auto"/>
          <w:szCs w:val="21"/>
          <w:highlight w:val="none"/>
        </w:rPr>
        <w:t>合同签订前提供原厂售后服务承诺书，每半年做电池性能检测，并出具检测报告；</w:t>
      </w:r>
    </w:p>
    <w:p>
      <w:pPr>
        <w:pStyle w:val="9"/>
        <w:spacing w:before="0" w:after="0" w:line="360" w:lineRule="auto"/>
        <w:ind w:left="400" w:firstLine="400"/>
        <w:rPr>
          <w:rFonts w:ascii="宋体" w:hAnsi="宋体" w:cs="宋体"/>
          <w:color w:val="auto"/>
          <w:sz w:val="21"/>
          <w:szCs w:val="21"/>
          <w:highlight w:val="none"/>
        </w:rPr>
      </w:pPr>
      <w:r>
        <w:rPr>
          <w:rFonts w:hint="eastAsia" w:ascii="宋体" w:hAnsi="宋体" w:cs="宋体"/>
          <w:color w:val="auto"/>
          <w:sz w:val="21"/>
          <w:szCs w:val="21"/>
          <w:highlight w:val="none"/>
        </w:rPr>
        <w:t>（五）弱电系统工程技术要求</w:t>
      </w:r>
    </w:p>
    <w:p>
      <w:pPr>
        <w:pStyle w:val="9"/>
        <w:numPr>
          <w:ilvl w:val="0"/>
          <w:numId w:val="64"/>
        </w:numPr>
        <w:tabs>
          <w:tab w:val="left" w:pos="420"/>
        </w:tabs>
        <w:adjustRightInd w:val="0"/>
        <w:snapToGrid w:val="0"/>
        <w:spacing w:before="0" w:after="0" w:line="360" w:lineRule="auto"/>
        <w:ind w:left="840"/>
        <w:rPr>
          <w:rFonts w:ascii="宋体" w:hAnsi="宋体" w:cs="宋体"/>
          <w:color w:val="auto"/>
          <w:sz w:val="21"/>
          <w:szCs w:val="21"/>
          <w:highlight w:val="none"/>
        </w:rPr>
      </w:pPr>
      <w:r>
        <w:rPr>
          <w:rFonts w:hint="eastAsia" w:ascii="宋体" w:hAnsi="宋体" w:cs="宋体"/>
          <w:color w:val="auto"/>
          <w:sz w:val="21"/>
          <w:szCs w:val="21"/>
          <w:highlight w:val="none"/>
        </w:rPr>
        <w:t>系统设计总体要求</w:t>
      </w:r>
    </w:p>
    <w:p>
      <w:pPr>
        <w:numPr>
          <w:ilvl w:val="0"/>
          <w:numId w:val="65"/>
        </w:numPr>
        <w:adjustRightInd w:val="0"/>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负压病房净化区域配置电话、网络系统、有线电视系统、呼叫系统、监控系统、可视门禁系统、背景音乐系统。其余弱电系统均不在本次招标范围内。</w:t>
      </w:r>
    </w:p>
    <w:p>
      <w:pPr>
        <w:numPr>
          <w:ilvl w:val="0"/>
          <w:numId w:val="65"/>
        </w:numPr>
        <w:adjustRightInd w:val="0"/>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所有设备及管线的招标、敷设均应符合国家电气、消防施工等相关技术规范要求。要求所有弱电的主机设备布局合理，整齐，美观，大方。</w:t>
      </w:r>
    </w:p>
    <w:p>
      <w:pPr>
        <w:pStyle w:val="9"/>
        <w:numPr>
          <w:ilvl w:val="0"/>
          <w:numId w:val="64"/>
        </w:numPr>
        <w:tabs>
          <w:tab w:val="left" w:pos="420"/>
        </w:tabs>
        <w:adjustRightInd w:val="0"/>
        <w:snapToGrid w:val="0"/>
        <w:spacing w:before="0" w:after="0" w:line="360" w:lineRule="auto"/>
        <w:ind w:left="840"/>
        <w:rPr>
          <w:rFonts w:ascii="宋体" w:hAnsi="宋体" w:cs="宋体"/>
          <w:color w:val="auto"/>
          <w:sz w:val="21"/>
          <w:szCs w:val="21"/>
          <w:highlight w:val="none"/>
        </w:rPr>
      </w:pPr>
      <w:r>
        <w:rPr>
          <w:rFonts w:hint="eastAsia" w:ascii="宋体" w:hAnsi="宋体" w:cs="宋体"/>
          <w:color w:val="auto"/>
          <w:sz w:val="21"/>
          <w:szCs w:val="21"/>
          <w:highlight w:val="none"/>
        </w:rPr>
        <w:t>背景音乐系统</w:t>
      </w:r>
    </w:p>
    <w:p>
      <w:pPr>
        <w:numPr>
          <w:ilvl w:val="0"/>
          <w:numId w:val="66"/>
        </w:numPr>
        <w:adjustRightInd w:val="0"/>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负压病房净化区域均设置背景音乐系统，广播布线分区设置，公共广播系统平时播放引导广播及背景音乐，预留消防强切接口，在火灾时由消防控制主机强制切换到火灾应急广播状态。</w:t>
      </w:r>
    </w:p>
    <w:p>
      <w:pPr>
        <w:numPr>
          <w:ilvl w:val="0"/>
          <w:numId w:val="66"/>
        </w:numPr>
        <w:adjustRightInd w:val="0"/>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主机设置于各科室的护士站或办公室（以发标平面图布置位置为准），各区域按需设置背景音乐喇叭及音量控制开关,系统设音源播放器及话筒(详见系统图)，可实现广播找人。扬声器在有吊顶处嵌入安装,广播线路穿金属线槽，出线槽用钢管在顶板内敷设。</w:t>
      </w:r>
    </w:p>
    <w:p>
      <w:pPr>
        <w:pStyle w:val="9"/>
        <w:numPr>
          <w:ilvl w:val="0"/>
          <w:numId w:val="64"/>
        </w:numPr>
        <w:tabs>
          <w:tab w:val="left" w:pos="420"/>
        </w:tabs>
        <w:adjustRightInd w:val="0"/>
        <w:snapToGrid w:val="0"/>
        <w:spacing w:before="0" w:after="0" w:line="360" w:lineRule="auto"/>
        <w:ind w:left="840"/>
        <w:rPr>
          <w:rFonts w:ascii="宋体" w:hAnsi="宋体" w:cs="宋体"/>
          <w:color w:val="auto"/>
          <w:sz w:val="21"/>
          <w:szCs w:val="21"/>
          <w:highlight w:val="none"/>
        </w:rPr>
      </w:pPr>
      <w:r>
        <w:rPr>
          <w:rFonts w:hint="eastAsia" w:ascii="宋体" w:hAnsi="宋体" w:cs="宋体"/>
          <w:color w:val="auto"/>
          <w:sz w:val="21"/>
          <w:szCs w:val="21"/>
          <w:highlight w:val="none"/>
        </w:rPr>
        <w:t>电话、网络系统</w:t>
      </w:r>
    </w:p>
    <w:p>
      <w:pPr>
        <w:numPr>
          <w:ilvl w:val="0"/>
          <w:numId w:val="67"/>
        </w:numPr>
        <w:adjustRightInd w:val="0"/>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负压病房净化区域均设置免提对讲电话：各病房的对讲电话集成在情报面板上、其布线均预留至护士站（含控电话交换机）。</w:t>
      </w:r>
    </w:p>
    <w:p>
      <w:pPr>
        <w:numPr>
          <w:ilvl w:val="0"/>
          <w:numId w:val="67"/>
        </w:numPr>
        <w:adjustRightInd w:val="0"/>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负压病房净化区域内的各护士站和功能房间按功能需求设置电话、网络插座，每间手术室的电源插座箱各设1网络插座，每一个吊塔设2路网线插座（吊塔网络插座由吊塔厂商自带）、吊塔网线预留长度3m；具体点位以平面布置图设置的为准。</w:t>
      </w:r>
    </w:p>
    <w:p>
      <w:pPr>
        <w:numPr>
          <w:ilvl w:val="0"/>
          <w:numId w:val="67"/>
        </w:numPr>
        <w:adjustRightInd w:val="0"/>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所有电话、网络线路引至弱电井内、预留长度4米，由招标方接入大楼信息系统。</w:t>
      </w:r>
    </w:p>
    <w:p>
      <w:pPr>
        <w:pStyle w:val="9"/>
        <w:numPr>
          <w:ilvl w:val="0"/>
          <w:numId w:val="64"/>
        </w:numPr>
        <w:tabs>
          <w:tab w:val="left" w:pos="420"/>
        </w:tabs>
        <w:adjustRightInd w:val="0"/>
        <w:snapToGrid w:val="0"/>
        <w:spacing w:before="0" w:after="0" w:line="360" w:lineRule="auto"/>
        <w:ind w:left="840"/>
        <w:rPr>
          <w:rFonts w:ascii="宋体" w:hAnsi="宋体" w:cs="宋体"/>
          <w:color w:val="auto"/>
          <w:sz w:val="21"/>
          <w:szCs w:val="21"/>
          <w:highlight w:val="none"/>
        </w:rPr>
      </w:pPr>
      <w:r>
        <w:rPr>
          <w:rFonts w:hint="eastAsia" w:ascii="宋体" w:hAnsi="宋体" w:cs="宋体"/>
          <w:color w:val="auto"/>
          <w:sz w:val="21"/>
          <w:szCs w:val="21"/>
          <w:highlight w:val="none"/>
        </w:rPr>
        <w:t>监控系统</w:t>
      </w:r>
    </w:p>
    <w:p>
      <w:pPr>
        <w:numPr>
          <w:ilvl w:val="0"/>
          <w:numId w:val="68"/>
        </w:numPr>
        <w:tabs>
          <w:tab w:val="left" w:pos="510"/>
          <w:tab w:val="left" w:pos="540"/>
        </w:tabs>
        <w:adjustRightInd w:val="0"/>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监控点设置：负压病房净化区域内</w:t>
      </w:r>
      <w:r>
        <w:rPr>
          <w:rFonts w:hint="eastAsia"/>
          <w:color w:val="auto"/>
          <w:highlight w:val="none"/>
        </w:rPr>
        <w:t>均</w:t>
      </w:r>
      <w:r>
        <w:rPr>
          <w:rFonts w:hint="eastAsia" w:ascii="宋体" w:hAnsi="宋体" w:cs="宋体"/>
          <w:color w:val="auto"/>
          <w:szCs w:val="21"/>
          <w:highlight w:val="none"/>
        </w:rPr>
        <w:t>设置网络监控系统，系统主机设置各科室的护士站(具体以发标平面图布置位置为准)，所有图像都传送到系统主机，可实现多地点、多画面实时监控。</w:t>
      </w:r>
    </w:p>
    <w:p>
      <w:pPr>
        <w:numPr>
          <w:ilvl w:val="0"/>
          <w:numId w:val="68"/>
        </w:numPr>
        <w:tabs>
          <w:tab w:val="left" w:pos="510"/>
          <w:tab w:val="left" w:pos="540"/>
        </w:tabs>
        <w:adjustRightInd w:val="0"/>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监控设备：各区域监控主机包括操作键盘，彩色监视器，硬盘录像机(带硬盘)，具体配置详见系统图。 </w:t>
      </w:r>
    </w:p>
    <w:p>
      <w:pPr>
        <w:numPr>
          <w:ilvl w:val="0"/>
          <w:numId w:val="68"/>
        </w:numPr>
        <w:tabs>
          <w:tab w:val="left" w:pos="510"/>
          <w:tab w:val="left" w:pos="540"/>
        </w:tabs>
        <w:adjustRightInd w:val="0"/>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系统功能：系统通过数码网络硬盘录像机进行集中控制和处理，视频图像通过监视器显示，系统可实现记录图像的回放、检索等，同时监控画面可任意切换，任意分割、任意组合排列。</w:t>
      </w:r>
    </w:p>
    <w:p>
      <w:pPr>
        <w:pStyle w:val="9"/>
        <w:numPr>
          <w:ilvl w:val="0"/>
          <w:numId w:val="64"/>
        </w:numPr>
        <w:tabs>
          <w:tab w:val="left" w:pos="420"/>
        </w:tabs>
        <w:adjustRightInd w:val="0"/>
        <w:snapToGrid w:val="0"/>
        <w:spacing w:before="0" w:after="0" w:line="360" w:lineRule="auto"/>
        <w:ind w:left="840"/>
        <w:rPr>
          <w:rFonts w:ascii="宋体" w:hAnsi="宋体" w:cs="宋体"/>
          <w:color w:val="auto"/>
          <w:sz w:val="21"/>
          <w:szCs w:val="21"/>
          <w:highlight w:val="none"/>
        </w:rPr>
      </w:pPr>
      <w:r>
        <w:rPr>
          <w:rFonts w:hint="eastAsia" w:ascii="宋体" w:hAnsi="宋体" w:cs="宋体"/>
          <w:color w:val="auto"/>
          <w:sz w:val="21"/>
          <w:szCs w:val="21"/>
          <w:highlight w:val="none"/>
        </w:rPr>
        <w:t>可视门禁系统</w:t>
      </w:r>
    </w:p>
    <w:p>
      <w:pPr>
        <w:numPr>
          <w:ilvl w:val="0"/>
          <w:numId w:val="69"/>
        </w:numPr>
        <w:tabs>
          <w:tab w:val="left" w:pos="510"/>
          <w:tab w:val="left" w:pos="540"/>
        </w:tabs>
        <w:adjustRightInd w:val="0"/>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负压病房净化区域内的医护、病患总入口、污物出口处设置门禁系统门口机，高值耗材库房配置刷卡门禁门口机；系统主机室内机设置各科室的护士站（具体以发标平面图布置的位置为准）。系统可实现门铃呼叫主机、刷卡、密码输入等方式。</w:t>
      </w:r>
    </w:p>
    <w:p>
      <w:pPr>
        <w:numPr>
          <w:ilvl w:val="0"/>
          <w:numId w:val="69"/>
        </w:numPr>
        <w:tabs>
          <w:tab w:val="left" w:pos="510"/>
          <w:tab w:val="left" w:pos="540"/>
        </w:tabs>
        <w:adjustRightInd w:val="0"/>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系统由门禁控制器、读卡器、IC卡、电子门锁组成及开门按钮。门禁控制器在吊顶内距吊顶0.2米安装，读卡器、电子门锁结合门的形式安装，读卡器安装高度为1.5米。</w:t>
      </w:r>
    </w:p>
    <w:p>
      <w:pPr>
        <w:numPr>
          <w:ilvl w:val="0"/>
          <w:numId w:val="69"/>
        </w:numPr>
        <w:tabs>
          <w:tab w:val="left" w:pos="510"/>
          <w:tab w:val="left" w:pos="540"/>
        </w:tabs>
        <w:adjustRightInd w:val="0"/>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通信及线路要求：门口机与室内机间采用TCP/IP协议，采用六类屏蔽网线STP.CAT6.4p。 </w:t>
      </w:r>
    </w:p>
    <w:p>
      <w:pPr>
        <w:pStyle w:val="9"/>
        <w:numPr>
          <w:ilvl w:val="0"/>
          <w:numId w:val="64"/>
        </w:numPr>
        <w:tabs>
          <w:tab w:val="left" w:pos="420"/>
        </w:tabs>
        <w:adjustRightInd w:val="0"/>
        <w:snapToGrid w:val="0"/>
        <w:spacing w:before="0" w:after="0" w:line="360" w:lineRule="auto"/>
        <w:ind w:left="840"/>
        <w:rPr>
          <w:rFonts w:ascii="宋体" w:hAnsi="宋体" w:cs="宋体"/>
          <w:color w:val="auto"/>
          <w:sz w:val="21"/>
          <w:szCs w:val="21"/>
          <w:highlight w:val="none"/>
        </w:rPr>
      </w:pPr>
      <w:r>
        <w:rPr>
          <w:rFonts w:hint="eastAsia" w:ascii="宋体" w:hAnsi="宋体" w:cs="宋体"/>
          <w:color w:val="auto"/>
          <w:sz w:val="21"/>
          <w:szCs w:val="21"/>
          <w:highlight w:val="none"/>
        </w:rPr>
        <w:t>呼叫系统</w:t>
      </w:r>
    </w:p>
    <w:p>
      <w:pPr>
        <w:numPr>
          <w:ilvl w:val="0"/>
          <w:numId w:val="70"/>
        </w:numPr>
        <w:adjustRightInd w:val="0"/>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负压病房净化区域内的设置一套呼叫系统，主机设置于护士站(具体以发标平面图布置位置为准)，麻醉准备间、复苏室、分娩室等区域按需求设置呼叫分机。</w:t>
      </w:r>
    </w:p>
    <w:p>
      <w:pPr>
        <w:numPr>
          <w:ilvl w:val="0"/>
          <w:numId w:val="70"/>
        </w:numPr>
        <w:adjustRightInd w:val="0"/>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系统采用总线制设置方式，配置带手柄呼叫按钮、方便使用，实现专门用于医护人员与病床病人之间的双向呼叫。</w:t>
      </w:r>
    </w:p>
    <w:p>
      <w:pPr>
        <w:pStyle w:val="9"/>
        <w:numPr>
          <w:ilvl w:val="0"/>
          <w:numId w:val="64"/>
        </w:numPr>
        <w:tabs>
          <w:tab w:val="left" w:pos="420"/>
        </w:tabs>
        <w:adjustRightInd w:val="0"/>
        <w:snapToGrid w:val="0"/>
        <w:spacing w:before="0" w:after="0" w:line="360" w:lineRule="auto"/>
        <w:ind w:left="840"/>
        <w:rPr>
          <w:rFonts w:ascii="宋体" w:hAnsi="宋体" w:cs="宋体"/>
          <w:color w:val="auto"/>
          <w:sz w:val="21"/>
          <w:szCs w:val="21"/>
          <w:highlight w:val="none"/>
        </w:rPr>
      </w:pPr>
      <w:r>
        <w:rPr>
          <w:rFonts w:hint="eastAsia" w:ascii="宋体" w:hAnsi="宋体" w:cs="宋体"/>
          <w:color w:val="auto"/>
          <w:sz w:val="21"/>
          <w:szCs w:val="21"/>
          <w:highlight w:val="none"/>
        </w:rPr>
        <w:t>有线电视系统</w:t>
      </w:r>
    </w:p>
    <w:p>
      <w:pPr>
        <w:numPr>
          <w:ilvl w:val="0"/>
          <w:numId w:val="46"/>
        </w:numPr>
        <w:adjustRightInd w:val="0"/>
        <w:snapToGrid w:val="0"/>
        <w:spacing w:line="360" w:lineRule="auto"/>
        <w:rPr>
          <w:color w:val="auto"/>
          <w:kern w:val="2"/>
          <w:highlight w:val="none"/>
        </w:rPr>
      </w:pPr>
      <w:r>
        <w:rPr>
          <w:rFonts w:hint="eastAsia" w:ascii="宋体" w:hAnsi="宋体" w:cs="宋体"/>
          <w:color w:val="auto"/>
          <w:szCs w:val="21"/>
          <w:highlight w:val="none"/>
        </w:rPr>
        <w:t>负压病房净化区域内在护工休息室、值班室、会议室或、公室内各设置 1 路供有线电视插座。</w:t>
      </w:r>
    </w:p>
    <w:p>
      <w:pPr>
        <w:pStyle w:val="6"/>
        <w:widowControl/>
        <w:snapToGrid w:val="0"/>
        <w:jc w:val="left"/>
        <w:rPr>
          <w:rFonts w:ascii="宋体" w:hAnsi="宋体"/>
          <w:color w:val="auto"/>
          <w:sz w:val="28"/>
          <w:szCs w:val="28"/>
          <w:highlight w:val="none"/>
        </w:rPr>
      </w:pPr>
      <w:r>
        <w:rPr>
          <w:rFonts w:hint="eastAsia" w:ascii="宋体" w:hAnsi="宋体"/>
          <w:color w:val="auto"/>
          <w:sz w:val="28"/>
          <w:szCs w:val="28"/>
          <w:highlight w:val="none"/>
        </w:rPr>
        <w:t>第三节 中心供应室、静脉配置中心、病理科PCR实验室、遗传科PCR实验室、细胞分子实验室技术要求</w:t>
      </w:r>
    </w:p>
    <w:p>
      <w:pPr>
        <w:pStyle w:val="9"/>
        <w:numPr>
          <w:ilvl w:val="0"/>
          <w:numId w:val="71"/>
        </w:numPr>
        <w:spacing w:before="0" w:after="0" w:line="360" w:lineRule="auto"/>
        <w:rPr>
          <w:rFonts w:ascii="宋体" w:hAnsi="宋体" w:cs="宋体"/>
          <w:color w:val="auto"/>
          <w:sz w:val="21"/>
          <w:szCs w:val="21"/>
          <w:highlight w:val="none"/>
        </w:rPr>
      </w:pPr>
      <w:r>
        <w:rPr>
          <w:rFonts w:hint="eastAsia" w:ascii="宋体" w:hAnsi="宋体" w:cs="宋体"/>
          <w:color w:val="auto"/>
          <w:sz w:val="21"/>
          <w:szCs w:val="21"/>
          <w:highlight w:val="none"/>
        </w:rPr>
        <w:t>装饰系统技术要求</w:t>
      </w:r>
    </w:p>
    <w:p>
      <w:pPr>
        <w:pStyle w:val="9"/>
        <w:numPr>
          <w:ilvl w:val="0"/>
          <w:numId w:val="72"/>
        </w:numPr>
        <w:adjustRightInd w:val="0"/>
        <w:snapToGrid w:val="0"/>
        <w:spacing w:before="0" w:after="0" w:line="360" w:lineRule="auto"/>
        <w:rPr>
          <w:rFonts w:ascii="宋体" w:hAnsi="宋体" w:cs="宋体"/>
          <w:color w:val="auto"/>
          <w:sz w:val="21"/>
          <w:szCs w:val="21"/>
          <w:highlight w:val="none"/>
        </w:rPr>
      </w:pPr>
      <w:r>
        <w:rPr>
          <w:rFonts w:hint="eastAsia" w:ascii="宋体" w:hAnsi="宋体" w:cs="宋体"/>
          <w:color w:val="auto"/>
          <w:sz w:val="21"/>
          <w:szCs w:val="21"/>
          <w:highlight w:val="none"/>
        </w:rPr>
        <w:t>墙面：</w:t>
      </w:r>
    </w:p>
    <w:p>
      <w:pPr>
        <w:numPr>
          <w:ilvl w:val="0"/>
          <w:numId w:val="73"/>
        </w:numPr>
        <w:spacing w:line="360" w:lineRule="auto"/>
        <w:rPr>
          <w:rFonts w:ascii="宋体" w:hAnsi="宋体" w:cs="宋体"/>
          <w:color w:val="auto"/>
          <w:szCs w:val="21"/>
          <w:highlight w:val="none"/>
        </w:rPr>
      </w:pPr>
      <w:r>
        <w:rPr>
          <w:rFonts w:hint="eastAsia" w:ascii="宋体" w:hAnsi="宋体" w:cs="宋体"/>
          <w:color w:val="auto"/>
          <w:szCs w:val="21"/>
          <w:highlight w:val="none"/>
        </w:rPr>
        <w:t>中心供应室、病理科除湿区外所有墙面材料均采用75轻钢龙骨+12mm石膏板+洁菌板。</w:t>
      </w:r>
    </w:p>
    <w:p>
      <w:pPr>
        <w:numPr>
          <w:ilvl w:val="0"/>
          <w:numId w:val="73"/>
        </w:numPr>
        <w:spacing w:line="360" w:lineRule="auto"/>
        <w:ind w:left="0" w:firstLine="400"/>
        <w:rPr>
          <w:rFonts w:ascii="宋体" w:hAnsi="宋体" w:cs="宋体"/>
          <w:color w:val="auto"/>
          <w:szCs w:val="21"/>
          <w:highlight w:val="none"/>
        </w:rPr>
      </w:pPr>
      <w:r>
        <w:rPr>
          <w:rFonts w:hint="eastAsia" w:ascii="宋体" w:hAnsi="宋体" w:cs="宋体"/>
          <w:color w:val="auto"/>
          <w:szCs w:val="21"/>
          <w:highlight w:val="none"/>
        </w:rPr>
        <w:t>中心供应室湿区墙面材料采用在原有土建墙体（招标方砌筑）使用高分子聚合物水泥基防水涂料防水处理后面贴优质瓷砖至吊顶以上100mm高度。</w:t>
      </w:r>
    </w:p>
    <w:p>
      <w:pPr>
        <w:numPr>
          <w:ilvl w:val="0"/>
          <w:numId w:val="73"/>
        </w:numPr>
        <w:spacing w:line="360" w:lineRule="auto"/>
        <w:ind w:left="0" w:firstLine="400"/>
        <w:rPr>
          <w:rFonts w:ascii="宋体" w:hAnsi="宋体" w:cs="宋体"/>
          <w:color w:val="auto"/>
          <w:szCs w:val="21"/>
          <w:highlight w:val="none"/>
        </w:rPr>
      </w:pPr>
      <w:r>
        <w:rPr>
          <w:rFonts w:hint="eastAsia" w:ascii="宋体" w:hAnsi="宋体" w:cs="宋体"/>
          <w:color w:val="auto"/>
          <w:szCs w:val="21"/>
          <w:highlight w:val="none"/>
        </w:rPr>
        <w:t>静配中心除湿区以外所有墙面材料均采用面层防水、防潮、抗菌、隔热、保温、轻质、抗震、防腐、防蛀、易清洁的50mm厚手工岩棉彩钢板，板材整体模块化安装，防霉抗菌硅胶密封。墙面与墙面、墙面与顶面均采用彩钢板配套成品铝型材圆弧过渡。</w:t>
      </w:r>
    </w:p>
    <w:p>
      <w:pPr>
        <w:numPr>
          <w:ilvl w:val="0"/>
          <w:numId w:val="73"/>
        </w:numPr>
        <w:spacing w:line="360" w:lineRule="auto"/>
        <w:ind w:left="0" w:firstLine="400"/>
        <w:rPr>
          <w:rFonts w:ascii="宋体" w:hAnsi="宋体" w:cs="宋体"/>
          <w:color w:val="auto"/>
          <w:szCs w:val="21"/>
          <w:highlight w:val="none"/>
        </w:rPr>
      </w:pPr>
      <w:r>
        <w:rPr>
          <w:rFonts w:hint="eastAsia" w:ascii="宋体" w:hAnsi="宋体" w:cs="宋体"/>
          <w:color w:val="auto"/>
          <w:szCs w:val="21"/>
          <w:highlight w:val="none"/>
        </w:rPr>
        <w:t>静配中心、实验室（包含PCR实验室、细胞、分子实验室）湿区采用在原有土建墙体（招标方砌筑）使用高分子聚合物水泥基防水涂料防水处理后面贴优质瓷砖至吊顶以上100mm高度。</w:t>
      </w:r>
    </w:p>
    <w:p>
      <w:pPr>
        <w:numPr>
          <w:ilvl w:val="0"/>
          <w:numId w:val="73"/>
        </w:numPr>
        <w:spacing w:line="360" w:lineRule="auto"/>
        <w:ind w:left="0" w:firstLine="400"/>
        <w:rPr>
          <w:rFonts w:ascii="宋体" w:hAnsi="宋体" w:cs="宋体"/>
          <w:color w:val="auto"/>
          <w:szCs w:val="21"/>
          <w:highlight w:val="none"/>
        </w:rPr>
      </w:pPr>
      <w:r>
        <w:rPr>
          <w:rFonts w:hint="eastAsia" w:ascii="宋体" w:hAnsi="宋体" w:cs="宋体"/>
          <w:color w:val="auto"/>
          <w:szCs w:val="21"/>
          <w:highlight w:val="none"/>
        </w:rPr>
        <w:t>中心供应室、实验室（包含PCR实验室、细胞、分子实验室）的净化机房墙面材料采用在原有土建墙体（招标方砌筑）的基础上加200mm隔音棉做隔音处理，高度至上层楼板底。</w:t>
      </w:r>
    </w:p>
    <w:p>
      <w:pPr>
        <w:pStyle w:val="9"/>
        <w:numPr>
          <w:ilvl w:val="0"/>
          <w:numId w:val="72"/>
        </w:numPr>
        <w:adjustRightInd w:val="0"/>
        <w:snapToGrid w:val="0"/>
        <w:spacing w:before="0" w:after="0" w:line="360" w:lineRule="auto"/>
        <w:rPr>
          <w:rFonts w:ascii="宋体" w:hAnsi="宋体" w:cs="宋体"/>
          <w:color w:val="auto"/>
          <w:sz w:val="21"/>
          <w:szCs w:val="21"/>
          <w:highlight w:val="none"/>
        </w:rPr>
      </w:pPr>
      <w:r>
        <w:rPr>
          <w:rFonts w:hint="eastAsia" w:ascii="宋体" w:hAnsi="宋体" w:cs="宋体"/>
          <w:color w:val="auto"/>
          <w:sz w:val="21"/>
          <w:szCs w:val="21"/>
          <w:highlight w:val="none"/>
        </w:rPr>
        <w:t>地面：</w:t>
      </w:r>
    </w:p>
    <w:p>
      <w:pPr>
        <w:numPr>
          <w:ilvl w:val="0"/>
          <w:numId w:val="74"/>
        </w:numPr>
        <w:spacing w:line="360" w:lineRule="auto"/>
        <w:rPr>
          <w:rFonts w:ascii="宋体" w:hAnsi="宋体" w:cs="宋体"/>
          <w:color w:val="auto"/>
          <w:szCs w:val="21"/>
          <w:highlight w:val="none"/>
        </w:rPr>
      </w:pPr>
      <w:r>
        <w:rPr>
          <w:rFonts w:hint="eastAsia" w:ascii="宋体" w:hAnsi="宋体" w:cs="宋体"/>
          <w:color w:val="auto"/>
          <w:szCs w:val="21"/>
          <w:highlight w:val="none"/>
        </w:rPr>
        <w:t>中心供应室、病理科区域内的地面材料采用2.0mm厚，具有防静电、防滑、防潮、防火、防霉耐磨、耐腐蚀、易清洗同质透心的PVC卷材，3mm厚PVC专用地面超强自流平基层。</w:t>
      </w:r>
    </w:p>
    <w:p>
      <w:pPr>
        <w:numPr>
          <w:ilvl w:val="0"/>
          <w:numId w:val="74"/>
        </w:numPr>
        <w:spacing w:line="360" w:lineRule="auto"/>
        <w:rPr>
          <w:rFonts w:ascii="宋体" w:hAnsi="宋体" w:cs="宋体"/>
          <w:color w:val="auto"/>
          <w:szCs w:val="21"/>
          <w:highlight w:val="none"/>
        </w:rPr>
      </w:pPr>
      <w:r>
        <w:rPr>
          <w:rFonts w:hint="eastAsia" w:ascii="宋体" w:hAnsi="宋体" w:cs="宋体"/>
          <w:color w:val="auto"/>
          <w:szCs w:val="21"/>
          <w:highlight w:val="none"/>
        </w:rPr>
        <w:t>静配中心、实验室（包含PCR实验室、细胞、分子实验室）除湿区以外地面材料采用2.0mm厚，具有防静电、防滑、防潮、防火、防霉耐磨、耐腐蚀、易清洗同质透心的PVC卷材。</w:t>
      </w:r>
    </w:p>
    <w:p>
      <w:pPr>
        <w:numPr>
          <w:ilvl w:val="0"/>
          <w:numId w:val="74"/>
        </w:numPr>
        <w:spacing w:line="360" w:lineRule="auto"/>
        <w:rPr>
          <w:rFonts w:ascii="宋体" w:hAnsi="宋体" w:cs="宋体"/>
          <w:color w:val="auto"/>
          <w:szCs w:val="21"/>
          <w:highlight w:val="none"/>
        </w:rPr>
      </w:pPr>
      <w:r>
        <w:rPr>
          <w:rFonts w:hint="eastAsia" w:ascii="宋体" w:hAnsi="宋体" w:cs="宋体"/>
          <w:color w:val="auto"/>
          <w:szCs w:val="21"/>
          <w:highlight w:val="none"/>
        </w:rPr>
        <w:t>静配中心、实验室（包含PCR实验室、细胞、分子实验室）、中心供应室机房地面材料均采用水泥基自流平地面。</w:t>
      </w:r>
    </w:p>
    <w:p>
      <w:pPr>
        <w:numPr>
          <w:ilvl w:val="0"/>
          <w:numId w:val="74"/>
        </w:numPr>
        <w:spacing w:line="360" w:lineRule="auto"/>
        <w:rPr>
          <w:rFonts w:ascii="宋体" w:hAnsi="宋体" w:cs="宋体"/>
          <w:color w:val="auto"/>
          <w:szCs w:val="21"/>
          <w:highlight w:val="none"/>
        </w:rPr>
      </w:pPr>
      <w:r>
        <w:rPr>
          <w:rFonts w:hint="eastAsia" w:ascii="宋体" w:hAnsi="宋体" w:cs="宋体"/>
          <w:color w:val="auto"/>
          <w:szCs w:val="21"/>
          <w:highlight w:val="none"/>
        </w:rPr>
        <w:t>中心供应室湿区、静配中心、实验室（包含PCR实验室、细胞、分子实验室、）、地面采用经2mm厚聚合物水泥基防水处理后，铺贴优质的防滑地砖，符合环保要求。</w:t>
      </w:r>
    </w:p>
    <w:p>
      <w:pPr>
        <w:numPr>
          <w:ilvl w:val="0"/>
          <w:numId w:val="74"/>
        </w:numPr>
        <w:spacing w:line="360" w:lineRule="auto"/>
        <w:rPr>
          <w:rFonts w:ascii="宋体" w:hAnsi="宋体" w:cs="宋体"/>
          <w:color w:val="auto"/>
          <w:szCs w:val="21"/>
          <w:highlight w:val="none"/>
        </w:rPr>
      </w:pPr>
      <w:r>
        <w:rPr>
          <w:rFonts w:hint="eastAsia" w:ascii="宋体" w:hAnsi="宋体" w:cs="宋体"/>
          <w:color w:val="auto"/>
          <w:szCs w:val="21"/>
          <w:highlight w:val="none"/>
        </w:rPr>
        <w:t>所有湿区房间与干区的界面需设置门槛石。</w:t>
      </w:r>
    </w:p>
    <w:p>
      <w:pPr>
        <w:numPr>
          <w:ilvl w:val="0"/>
          <w:numId w:val="74"/>
        </w:numPr>
        <w:spacing w:line="360" w:lineRule="auto"/>
        <w:rPr>
          <w:rFonts w:ascii="宋体" w:hAnsi="宋体" w:cs="宋体"/>
          <w:color w:val="auto"/>
          <w:szCs w:val="21"/>
          <w:highlight w:val="none"/>
        </w:rPr>
      </w:pPr>
      <w:r>
        <w:rPr>
          <w:rFonts w:hint="eastAsia" w:ascii="宋体" w:hAnsi="宋体" w:cs="宋体"/>
          <w:color w:val="auto"/>
          <w:szCs w:val="21"/>
          <w:highlight w:val="none"/>
        </w:rPr>
        <w:t>卷材铺设前必须采用优质自流平及界面处理剂处理。</w:t>
      </w:r>
    </w:p>
    <w:p>
      <w:pPr>
        <w:numPr>
          <w:ilvl w:val="0"/>
          <w:numId w:val="74"/>
        </w:numPr>
        <w:spacing w:line="360" w:lineRule="auto"/>
        <w:rPr>
          <w:rFonts w:ascii="宋体" w:hAnsi="宋体" w:cs="宋体"/>
          <w:color w:val="auto"/>
          <w:szCs w:val="21"/>
          <w:highlight w:val="none"/>
        </w:rPr>
      </w:pPr>
      <w:r>
        <w:rPr>
          <w:rFonts w:hint="eastAsia" w:ascii="宋体" w:hAnsi="宋体" w:cs="宋体"/>
          <w:color w:val="auto"/>
          <w:szCs w:val="21"/>
          <w:highlight w:val="none"/>
        </w:rPr>
        <w:t>招标区域内所有卷材与瓷砖交接处地面，均设置人造大理石门槛，门槛石均高于湿区地面10-20mm，与干区地面完成面齐平，湿区地面瓷砖施工均坡向地漏1%。其中范围线交界处地面门槛石均由招标方统一完成。</w:t>
      </w:r>
    </w:p>
    <w:p>
      <w:pPr>
        <w:pStyle w:val="9"/>
        <w:adjustRightInd w:val="0"/>
        <w:snapToGrid w:val="0"/>
        <w:spacing w:before="0" w:after="0" w:line="360" w:lineRule="auto"/>
        <w:rPr>
          <w:rFonts w:ascii="宋体" w:hAnsi="宋体" w:cs="宋体"/>
          <w:color w:val="auto"/>
          <w:sz w:val="21"/>
          <w:szCs w:val="21"/>
          <w:highlight w:val="none"/>
        </w:rPr>
      </w:pPr>
      <w:r>
        <w:rPr>
          <w:rFonts w:hint="eastAsia" w:ascii="宋体" w:hAnsi="宋体" w:cs="宋体"/>
          <w:color w:val="auto"/>
          <w:sz w:val="21"/>
          <w:szCs w:val="21"/>
          <w:highlight w:val="none"/>
        </w:rPr>
        <w:t>PVC卷材技术参数:</w:t>
      </w:r>
    </w:p>
    <w:p>
      <w:pPr>
        <w:numPr>
          <w:ilvl w:val="0"/>
          <w:numId w:val="54"/>
        </w:numPr>
        <w:spacing w:line="360" w:lineRule="auto"/>
        <w:ind w:left="420"/>
        <w:rPr>
          <w:rFonts w:ascii="宋体" w:hAnsi="宋体" w:cs="宋体"/>
          <w:color w:val="auto"/>
          <w:szCs w:val="21"/>
          <w:highlight w:val="none"/>
        </w:rPr>
      </w:pPr>
      <w:r>
        <w:rPr>
          <w:rFonts w:hint="eastAsia" w:ascii="宋体" w:hAnsi="宋体" w:cs="宋体"/>
          <w:color w:val="auto"/>
          <w:szCs w:val="21"/>
          <w:highlight w:val="none"/>
        </w:rPr>
        <w:t>类型：厚度2.0mm花纹透底型、无方向性花纹、同质透心PVC卷材</w:t>
      </w:r>
    </w:p>
    <w:p>
      <w:pPr>
        <w:numPr>
          <w:ilvl w:val="0"/>
          <w:numId w:val="54"/>
        </w:numPr>
        <w:spacing w:line="360" w:lineRule="auto"/>
        <w:ind w:left="420"/>
        <w:rPr>
          <w:rFonts w:ascii="宋体" w:hAnsi="宋体" w:cs="宋体"/>
          <w:color w:val="auto"/>
          <w:szCs w:val="21"/>
          <w:highlight w:val="none"/>
        </w:rPr>
      </w:pPr>
      <w:r>
        <w:rPr>
          <w:rFonts w:hint="eastAsia" w:ascii="宋体" w:hAnsi="宋体" w:cs="宋体"/>
          <w:color w:val="auto"/>
          <w:szCs w:val="21"/>
          <w:highlight w:val="none"/>
        </w:rPr>
        <w:t>耐磨等级：根据EN660-2：1999+A1：2003和EN649：2011要求测定:≥T级。</w:t>
      </w:r>
    </w:p>
    <w:p>
      <w:pPr>
        <w:numPr>
          <w:ilvl w:val="0"/>
          <w:numId w:val="54"/>
        </w:numPr>
        <w:spacing w:line="360" w:lineRule="auto"/>
        <w:ind w:left="420"/>
        <w:rPr>
          <w:rFonts w:ascii="宋体" w:hAnsi="宋体" w:cs="宋体"/>
          <w:color w:val="auto"/>
          <w:szCs w:val="21"/>
          <w:highlight w:val="none"/>
        </w:rPr>
      </w:pPr>
      <w:r>
        <w:rPr>
          <w:rFonts w:hint="eastAsia" w:ascii="宋体" w:hAnsi="宋体" w:cs="宋体"/>
          <w:color w:val="auto"/>
          <w:szCs w:val="21"/>
          <w:highlight w:val="none"/>
        </w:rPr>
        <w:t>耐磨性：根据GB/T 4085-2005要求测定≈0.04。</w:t>
      </w:r>
    </w:p>
    <w:p>
      <w:pPr>
        <w:numPr>
          <w:ilvl w:val="0"/>
          <w:numId w:val="54"/>
        </w:numPr>
        <w:spacing w:line="360" w:lineRule="auto"/>
        <w:ind w:left="420"/>
        <w:rPr>
          <w:rFonts w:ascii="宋体" w:hAnsi="宋体" w:cs="宋体"/>
          <w:color w:val="auto"/>
          <w:szCs w:val="21"/>
          <w:highlight w:val="none"/>
        </w:rPr>
      </w:pPr>
      <w:r>
        <w:rPr>
          <w:rFonts w:hint="eastAsia" w:ascii="宋体" w:hAnsi="宋体" w:cs="宋体"/>
          <w:color w:val="auto"/>
          <w:szCs w:val="21"/>
          <w:highlight w:val="none"/>
        </w:rPr>
        <w:t>防火等级：符合GB8624-2012判定：该产品燃烧性能达到难燃B1(B-s1,t0)级。</w:t>
      </w:r>
    </w:p>
    <w:p>
      <w:pPr>
        <w:numPr>
          <w:ilvl w:val="0"/>
          <w:numId w:val="54"/>
        </w:numPr>
        <w:spacing w:line="360" w:lineRule="auto"/>
        <w:ind w:left="420"/>
        <w:rPr>
          <w:rFonts w:ascii="宋体" w:hAnsi="宋体" w:cs="宋体"/>
          <w:color w:val="auto"/>
          <w:szCs w:val="21"/>
          <w:highlight w:val="none"/>
        </w:rPr>
      </w:pPr>
      <w:r>
        <w:rPr>
          <w:rFonts w:hint="eastAsia" w:ascii="宋体" w:hAnsi="宋体" w:cs="宋体"/>
          <w:color w:val="auto"/>
          <w:szCs w:val="21"/>
          <w:highlight w:val="none"/>
        </w:rPr>
        <w:t>有害物质检测：应符合GB18586-2001要求测定，未检出氯乙烯单体、可溶性重金属（铅、镉），挥发物符合要求。</w:t>
      </w:r>
    </w:p>
    <w:p>
      <w:pPr>
        <w:numPr>
          <w:ilvl w:val="0"/>
          <w:numId w:val="54"/>
        </w:numPr>
        <w:spacing w:line="360" w:lineRule="auto"/>
        <w:ind w:left="420"/>
        <w:rPr>
          <w:rFonts w:ascii="宋体" w:hAnsi="宋体" w:cs="宋体"/>
          <w:color w:val="auto"/>
          <w:szCs w:val="21"/>
          <w:highlight w:val="none"/>
        </w:rPr>
      </w:pPr>
      <w:r>
        <w:rPr>
          <w:rFonts w:hint="eastAsia" w:ascii="宋体" w:hAnsi="宋体" w:cs="宋体"/>
          <w:color w:val="auto"/>
          <w:szCs w:val="21"/>
          <w:highlight w:val="none"/>
        </w:rPr>
        <w:t>单位面积重量：符合GB/T11982.1-2015要求测定，</w:t>
      </w:r>
      <w:r>
        <w:rPr>
          <w:rFonts w:ascii="宋体" w:hAnsi="宋体" w:cs="宋体"/>
          <w:color w:val="auto"/>
          <w:szCs w:val="21"/>
          <w:highlight w:val="none"/>
        </w:rPr>
        <w:t>≈</w:t>
      </w:r>
      <w:r>
        <w:rPr>
          <w:rFonts w:hint="eastAsia" w:ascii="宋体" w:hAnsi="宋体" w:cs="宋体"/>
          <w:color w:val="auto"/>
          <w:szCs w:val="21"/>
          <w:highlight w:val="none"/>
        </w:rPr>
        <w:t>2</w:t>
      </w:r>
      <w:r>
        <w:rPr>
          <w:rFonts w:hint="eastAsia" w:ascii="宋体" w:hAnsi="宋体" w:cs="宋体"/>
          <w:color w:val="auto"/>
          <w:szCs w:val="21"/>
          <w:highlight w:val="none"/>
          <w:lang w:val="en-US" w:eastAsia="zh-CN"/>
        </w:rPr>
        <w:t>.</w:t>
      </w:r>
      <w:r>
        <w:rPr>
          <w:rFonts w:hint="eastAsia" w:ascii="宋体" w:hAnsi="宋体" w:cs="宋体"/>
          <w:color w:val="auto"/>
          <w:szCs w:val="21"/>
          <w:highlight w:val="none"/>
        </w:rPr>
        <w:t>75kg/㎡。</w:t>
      </w:r>
    </w:p>
    <w:p>
      <w:pPr>
        <w:numPr>
          <w:ilvl w:val="0"/>
          <w:numId w:val="54"/>
        </w:numPr>
        <w:spacing w:line="360" w:lineRule="auto"/>
        <w:ind w:left="420"/>
        <w:rPr>
          <w:rFonts w:ascii="宋体" w:hAnsi="宋体" w:cs="宋体"/>
          <w:color w:val="auto"/>
          <w:szCs w:val="21"/>
          <w:highlight w:val="none"/>
        </w:rPr>
      </w:pPr>
      <w:r>
        <w:rPr>
          <w:rFonts w:hint="eastAsia" w:ascii="宋体" w:hAnsi="宋体" w:cs="宋体"/>
          <w:color w:val="auto"/>
          <w:szCs w:val="21"/>
          <w:highlight w:val="none"/>
        </w:rPr>
        <w:t>焊接强度：应符合EN684-1996，≥620 N/50 mm。</w:t>
      </w:r>
    </w:p>
    <w:p>
      <w:pPr>
        <w:numPr>
          <w:ilvl w:val="0"/>
          <w:numId w:val="54"/>
        </w:numPr>
        <w:spacing w:line="360" w:lineRule="auto"/>
        <w:ind w:left="420"/>
        <w:rPr>
          <w:rFonts w:ascii="宋体" w:hAnsi="宋体" w:cs="宋体"/>
          <w:color w:val="auto"/>
          <w:szCs w:val="21"/>
          <w:highlight w:val="none"/>
        </w:rPr>
      </w:pPr>
      <w:r>
        <w:rPr>
          <w:rFonts w:hint="eastAsia" w:ascii="宋体" w:hAnsi="宋体" w:cs="宋体"/>
          <w:color w:val="auto"/>
          <w:szCs w:val="21"/>
          <w:highlight w:val="none"/>
        </w:rPr>
        <w:t>防滑性：应符合EN14014和EN13893要求，达到技术等级DS。</w:t>
      </w:r>
    </w:p>
    <w:p>
      <w:pPr>
        <w:numPr>
          <w:ilvl w:val="0"/>
          <w:numId w:val="54"/>
        </w:numPr>
        <w:spacing w:line="360" w:lineRule="auto"/>
        <w:ind w:left="420"/>
        <w:rPr>
          <w:rFonts w:ascii="宋体" w:hAnsi="宋体" w:cs="宋体"/>
          <w:color w:val="auto"/>
          <w:szCs w:val="21"/>
          <w:highlight w:val="none"/>
        </w:rPr>
      </w:pPr>
      <w:r>
        <w:rPr>
          <w:rFonts w:hint="eastAsia" w:ascii="宋体" w:hAnsi="宋体" w:cs="宋体"/>
          <w:color w:val="auto"/>
          <w:szCs w:val="21"/>
          <w:highlight w:val="none"/>
        </w:rPr>
        <w:t>TVOC（挥发有机化合物）检测：符合挥发物有机化合物测试要求测定，结果≤10µg/m3 。</w:t>
      </w:r>
    </w:p>
    <w:p>
      <w:pPr>
        <w:numPr>
          <w:ilvl w:val="0"/>
          <w:numId w:val="54"/>
        </w:numPr>
        <w:spacing w:line="360" w:lineRule="auto"/>
        <w:ind w:left="420"/>
        <w:rPr>
          <w:rFonts w:ascii="宋体" w:hAnsi="宋体" w:cs="宋体"/>
          <w:color w:val="auto"/>
          <w:szCs w:val="21"/>
          <w:highlight w:val="none"/>
        </w:rPr>
      </w:pPr>
      <w:r>
        <w:rPr>
          <w:rFonts w:hint="eastAsia" w:ascii="宋体" w:hAnsi="宋体" w:cs="宋体"/>
          <w:color w:val="auto"/>
          <w:szCs w:val="21"/>
          <w:highlight w:val="none"/>
        </w:rPr>
        <w:t>同质透心PVC卷材地板VOCs、醛酮化合物检测：28天后排放量通过ISO16000-9：2006/COR1-2007、ISO16000-6：2011、ISO16000-3：2011测试，（苯、甲苯、乙苯、间/对二甲苯、邻二甲苯、苯乙烯、正十一烷、1，4-对二氧笨、TVOC、甲醛、乙醛）测试结果均为：ND，未检出。</w:t>
      </w:r>
    </w:p>
    <w:p>
      <w:pPr>
        <w:numPr>
          <w:ilvl w:val="0"/>
          <w:numId w:val="54"/>
        </w:numPr>
        <w:spacing w:line="360" w:lineRule="auto"/>
        <w:ind w:left="420"/>
        <w:rPr>
          <w:rFonts w:ascii="宋体" w:hAnsi="宋体" w:cs="宋体"/>
          <w:color w:val="auto"/>
          <w:szCs w:val="21"/>
          <w:highlight w:val="none"/>
        </w:rPr>
      </w:pPr>
      <w:r>
        <w:rPr>
          <w:rFonts w:hint="eastAsia" w:ascii="宋体" w:hAnsi="宋体" w:cs="宋体"/>
          <w:color w:val="auto"/>
          <w:szCs w:val="21"/>
          <w:highlight w:val="none"/>
        </w:rPr>
        <w:t>甲醛测试：应符合GB18580-2001要求，未检出。</w:t>
      </w:r>
    </w:p>
    <w:p>
      <w:pPr>
        <w:numPr>
          <w:ilvl w:val="0"/>
          <w:numId w:val="54"/>
        </w:numPr>
        <w:spacing w:line="360" w:lineRule="auto"/>
        <w:ind w:left="420"/>
        <w:rPr>
          <w:color w:val="auto"/>
          <w:highlight w:val="none"/>
        </w:rPr>
      </w:pPr>
      <w:r>
        <w:rPr>
          <w:rFonts w:hint="eastAsia" w:ascii="宋体" w:hAnsi="宋体" w:cs="宋体"/>
          <w:color w:val="auto"/>
          <w:szCs w:val="21"/>
          <w:highlight w:val="none"/>
        </w:rPr>
        <w:t>防滑等级：符合DIN 51130要求测定，≥R9。</w:t>
      </w:r>
    </w:p>
    <w:p>
      <w:pPr>
        <w:numPr>
          <w:ilvl w:val="0"/>
          <w:numId w:val="54"/>
        </w:numPr>
        <w:spacing w:line="360" w:lineRule="auto"/>
        <w:ind w:left="420"/>
        <w:rPr>
          <w:color w:val="auto"/>
          <w:highlight w:val="none"/>
        </w:rPr>
      </w:pPr>
      <w:r>
        <w:rPr>
          <w:rFonts w:hint="eastAsia" w:ascii="宋体" w:hAnsi="宋体" w:cs="宋体"/>
          <w:color w:val="auto"/>
          <w:szCs w:val="21"/>
          <w:highlight w:val="none"/>
        </w:rPr>
        <w:t>洁净室认证：满足ISO 14644-1标准，测试等级为ISO Class 3级</w:t>
      </w:r>
    </w:p>
    <w:p>
      <w:pPr>
        <w:pStyle w:val="3"/>
        <w:rPr>
          <w:color w:val="auto"/>
          <w:highlight w:val="none"/>
        </w:rPr>
      </w:pPr>
    </w:p>
    <w:p>
      <w:pPr>
        <w:pStyle w:val="9"/>
        <w:numPr>
          <w:ilvl w:val="0"/>
          <w:numId w:val="72"/>
        </w:numPr>
        <w:adjustRightInd w:val="0"/>
        <w:snapToGrid w:val="0"/>
        <w:spacing w:before="0" w:after="0" w:line="360" w:lineRule="auto"/>
        <w:rPr>
          <w:rFonts w:ascii="宋体" w:hAnsi="宋体" w:cs="宋体"/>
          <w:color w:val="auto"/>
          <w:sz w:val="21"/>
          <w:szCs w:val="21"/>
          <w:highlight w:val="none"/>
        </w:rPr>
      </w:pPr>
      <w:r>
        <w:rPr>
          <w:rFonts w:hint="eastAsia" w:ascii="宋体" w:hAnsi="宋体" w:cs="宋体"/>
          <w:color w:val="auto"/>
          <w:sz w:val="21"/>
          <w:szCs w:val="21"/>
          <w:highlight w:val="none"/>
        </w:rPr>
        <w:t>天花：</w:t>
      </w:r>
    </w:p>
    <w:p>
      <w:pPr>
        <w:numPr>
          <w:ilvl w:val="0"/>
          <w:numId w:val="75"/>
        </w:numPr>
        <w:spacing w:line="360" w:lineRule="auto"/>
        <w:rPr>
          <w:rFonts w:ascii="宋体" w:hAnsi="宋体" w:cs="宋体"/>
          <w:color w:val="auto"/>
          <w:szCs w:val="21"/>
          <w:highlight w:val="none"/>
        </w:rPr>
      </w:pPr>
      <w:r>
        <w:rPr>
          <w:rFonts w:hint="eastAsia" w:ascii="宋体" w:hAnsi="宋体" w:cs="宋体"/>
          <w:color w:val="auto"/>
          <w:szCs w:val="21"/>
          <w:highlight w:val="none"/>
        </w:rPr>
        <w:t>中心供应室、病理科、静配中心、实验室（包含PCR实验室、细胞、分子实验室）除湿区以外的顶面材料均采用轻钢龙骨+9.5mm石膏板+洁菌板。</w:t>
      </w:r>
    </w:p>
    <w:p>
      <w:pPr>
        <w:numPr>
          <w:ilvl w:val="0"/>
          <w:numId w:val="75"/>
        </w:numPr>
        <w:spacing w:line="360" w:lineRule="auto"/>
        <w:rPr>
          <w:rFonts w:ascii="宋体" w:hAnsi="宋体" w:cs="宋体"/>
          <w:color w:val="auto"/>
          <w:szCs w:val="21"/>
          <w:highlight w:val="none"/>
        </w:rPr>
      </w:pPr>
      <w:r>
        <w:rPr>
          <w:rFonts w:hint="eastAsia" w:ascii="宋体" w:hAnsi="宋体" w:cs="宋体"/>
          <w:color w:val="auto"/>
          <w:szCs w:val="21"/>
          <w:highlight w:val="none"/>
        </w:rPr>
        <w:t>中心供应室、静配中心、实验室（包含PCR实验室、细胞、分子实验室）湿区顶面材料采用专用龙骨+0.8mm厚铝扣板。</w:t>
      </w:r>
    </w:p>
    <w:p>
      <w:pPr>
        <w:numPr>
          <w:ilvl w:val="0"/>
          <w:numId w:val="75"/>
        </w:numPr>
        <w:spacing w:line="360" w:lineRule="auto"/>
        <w:rPr>
          <w:rFonts w:ascii="宋体" w:hAnsi="宋体" w:cs="宋体"/>
          <w:color w:val="auto"/>
          <w:szCs w:val="21"/>
          <w:highlight w:val="none"/>
        </w:rPr>
      </w:pPr>
      <w:r>
        <w:rPr>
          <w:rFonts w:hint="eastAsia" w:ascii="宋体" w:hAnsi="宋体" w:cs="宋体"/>
          <w:color w:val="auto"/>
          <w:szCs w:val="21"/>
          <w:highlight w:val="none"/>
        </w:rPr>
        <w:t>中心供应室、静配中心、实验室（包含PCR实验室、细胞、分子实验室）的吊顶高度以2.6m高为宜（具体以现场实际条件为准），其中实验室核心工作间吊顶不能开设人孔或设备检修孔。</w:t>
      </w:r>
    </w:p>
    <w:p>
      <w:pPr>
        <w:numPr>
          <w:ilvl w:val="0"/>
          <w:numId w:val="75"/>
        </w:numPr>
        <w:spacing w:line="360" w:lineRule="auto"/>
        <w:rPr>
          <w:rFonts w:ascii="宋体" w:hAnsi="宋体" w:cs="宋体"/>
          <w:color w:val="auto"/>
          <w:szCs w:val="21"/>
          <w:highlight w:val="none"/>
        </w:rPr>
      </w:pPr>
      <w:r>
        <w:rPr>
          <w:rFonts w:hint="eastAsia" w:ascii="宋体" w:hAnsi="宋体" w:cs="宋体"/>
          <w:color w:val="auto"/>
          <w:szCs w:val="21"/>
          <w:highlight w:val="none"/>
        </w:rPr>
        <w:t>当吊顶内吊杆长度大于1.5米，吊顶内应按《建筑装饰装修工程施工质量验收规范》要求设置反支撑。</w:t>
      </w:r>
    </w:p>
    <w:p>
      <w:pPr>
        <w:pStyle w:val="9"/>
        <w:numPr>
          <w:ilvl w:val="0"/>
          <w:numId w:val="72"/>
        </w:numPr>
        <w:adjustRightInd w:val="0"/>
        <w:snapToGrid w:val="0"/>
        <w:spacing w:before="0" w:after="0" w:line="360" w:lineRule="auto"/>
        <w:rPr>
          <w:rFonts w:ascii="宋体" w:hAnsi="宋体" w:cs="宋体"/>
          <w:color w:val="auto"/>
          <w:sz w:val="21"/>
          <w:szCs w:val="21"/>
          <w:highlight w:val="none"/>
        </w:rPr>
      </w:pPr>
      <w:r>
        <w:rPr>
          <w:rFonts w:hint="eastAsia" w:ascii="宋体" w:hAnsi="宋体" w:cs="宋体"/>
          <w:color w:val="auto"/>
          <w:sz w:val="21"/>
          <w:szCs w:val="21"/>
          <w:highlight w:val="none"/>
        </w:rPr>
        <w:t>门：</w:t>
      </w:r>
    </w:p>
    <w:p>
      <w:pPr>
        <w:numPr>
          <w:ilvl w:val="0"/>
          <w:numId w:val="76"/>
        </w:numPr>
        <w:spacing w:line="360" w:lineRule="auto"/>
        <w:rPr>
          <w:rFonts w:ascii="宋体" w:hAnsi="宋体" w:cs="宋体"/>
          <w:color w:val="auto"/>
          <w:szCs w:val="21"/>
          <w:highlight w:val="none"/>
        </w:rPr>
      </w:pPr>
      <w:r>
        <w:rPr>
          <w:rFonts w:hint="eastAsia" w:ascii="宋体" w:hAnsi="宋体" w:cs="宋体"/>
          <w:color w:val="auto"/>
          <w:szCs w:val="21"/>
          <w:highlight w:val="none"/>
        </w:rPr>
        <w:t>各科室操作区域（或实验区域）及其辅房均采用医用气密封手动门，具体尺寸见发标图纸。</w:t>
      </w:r>
    </w:p>
    <w:p>
      <w:pPr>
        <w:numPr>
          <w:ilvl w:val="0"/>
          <w:numId w:val="76"/>
        </w:numPr>
        <w:spacing w:line="360" w:lineRule="auto"/>
        <w:rPr>
          <w:rFonts w:ascii="宋体" w:hAnsi="宋体" w:cs="宋体"/>
          <w:color w:val="auto"/>
          <w:szCs w:val="21"/>
          <w:highlight w:val="none"/>
        </w:rPr>
      </w:pPr>
      <w:r>
        <w:rPr>
          <w:rFonts w:hint="eastAsia" w:ascii="宋体" w:hAnsi="宋体" w:cs="宋体"/>
          <w:color w:val="auto"/>
          <w:szCs w:val="21"/>
          <w:highlight w:val="none"/>
        </w:rPr>
        <w:t>各缓冲间门应设电子互锁装置，并具应急解锁功能。实验室（包含PCR实验室、细胞、分子实验室）、实验门均应设闭门器。门头上可加装工作状态指示灯，标明实验室是否有人工作。</w:t>
      </w:r>
    </w:p>
    <w:p>
      <w:pPr>
        <w:numPr>
          <w:ilvl w:val="0"/>
          <w:numId w:val="76"/>
        </w:numPr>
        <w:spacing w:line="360" w:lineRule="auto"/>
        <w:rPr>
          <w:rFonts w:ascii="宋体" w:hAnsi="宋体" w:cs="宋体"/>
          <w:color w:val="auto"/>
          <w:szCs w:val="21"/>
          <w:highlight w:val="none"/>
        </w:rPr>
      </w:pPr>
      <w:r>
        <w:rPr>
          <w:rFonts w:hint="eastAsia" w:ascii="宋体" w:hAnsi="宋体" w:cs="宋体"/>
          <w:color w:val="auto"/>
          <w:szCs w:val="21"/>
          <w:highlight w:val="none"/>
        </w:rPr>
        <w:t>各科室与其他场所或部位分隔（公共区域交接处)墙上必须设置的门应采用乙级防火门，由招标方负责采购、施工，中标方提供相关配合。</w:t>
      </w:r>
    </w:p>
    <w:p>
      <w:pPr>
        <w:numPr>
          <w:ilvl w:val="0"/>
          <w:numId w:val="76"/>
        </w:numPr>
        <w:spacing w:line="360" w:lineRule="auto"/>
        <w:rPr>
          <w:rFonts w:ascii="宋体" w:hAnsi="宋体" w:cs="宋体"/>
          <w:color w:val="auto"/>
          <w:szCs w:val="21"/>
          <w:highlight w:val="none"/>
        </w:rPr>
      </w:pPr>
      <w:r>
        <w:rPr>
          <w:rFonts w:hint="eastAsia" w:ascii="宋体" w:hAnsi="宋体" w:cs="宋体"/>
          <w:color w:val="auto"/>
          <w:szCs w:val="21"/>
          <w:highlight w:val="none"/>
        </w:rPr>
        <w:t>各科室与其他场所或部位分隔（公共区域交接处)墙上必须设置的窗应采用乙级防火窗，由招标方负责采购、施工，中标方提供相关配合。</w:t>
      </w:r>
    </w:p>
    <w:p>
      <w:pPr>
        <w:pStyle w:val="9"/>
        <w:numPr>
          <w:ilvl w:val="0"/>
          <w:numId w:val="71"/>
        </w:numPr>
        <w:spacing w:before="0" w:after="0"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净化空调及自动化控制系统工程技术要求 </w:t>
      </w:r>
    </w:p>
    <w:p>
      <w:pPr>
        <w:pStyle w:val="9"/>
        <w:numPr>
          <w:ilvl w:val="0"/>
          <w:numId w:val="77"/>
        </w:numPr>
        <w:adjustRightInd w:val="0"/>
        <w:snapToGrid w:val="0"/>
        <w:spacing w:before="0" w:after="0" w:line="360" w:lineRule="auto"/>
        <w:rPr>
          <w:rFonts w:ascii="宋体" w:hAnsi="宋体" w:cs="宋体"/>
          <w:color w:val="auto"/>
          <w:sz w:val="21"/>
          <w:szCs w:val="21"/>
          <w:highlight w:val="none"/>
        </w:rPr>
      </w:pPr>
      <w:r>
        <w:rPr>
          <w:rFonts w:hint="eastAsia" w:ascii="宋体" w:hAnsi="宋体" w:cs="宋体"/>
          <w:color w:val="auto"/>
          <w:sz w:val="21"/>
          <w:szCs w:val="21"/>
          <w:highlight w:val="none"/>
        </w:rPr>
        <w:t>系统设计总体要求</w:t>
      </w:r>
    </w:p>
    <w:p>
      <w:pPr>
        <w:numPr>
          <w:ilvl w:val="0"/>
          <w:numId w:val="78"/>
        </w:numPr>
        <w:spacing w:line="360" w:lineRule="auto"/>
        <w:rPr>
          <w:rFonts w:ascii="宋体" w:hAnsi="宋体" w:cs="宋体"/>
          <w:color w:val="auto"/>
          <w:szCs w:val="21"/>
          <w:highlight w:val="none"/>
        </w:rPr>
      </w:pPr>
      <w:r>
        <w:rPr>
          <w:rFonts w:hint="eastAsia" w:ascii="宋体" w:hAnsi="宋体" w:cs="宋体"/>
          <w:color w:val="auto"/>
          <w:szCs w:val="21"/>
          <w:highlight w:val="none"/>
        </w:rPr>
        <w:t>选用节能环保的空气净化系统和先进的气流组织模式，各净化区应按国家现行相关规范的要求设置其相对邻室的气压，以保持洁净室的级别及无菌净化要求，并使洁净区处于受控状态。</w:t>
      </w:r>
    </w:p>
    <w:p>
      <w:pPr>
        <w:numPr>
          <w:ilvl w:val="0"/>
          <w:numId w:val="78"/>
        </w:numPr>
        <w:spacing w:line="360" w:lineRule="auto"/>
        <w:rPr>
          <w:rFonts w:ascii="宋体" w:hAnsi="宋体" w:cs="宋体"/>
          <w:color w:val="auto"/>
          <w:szCs w:val="21"/>
          <w:highlight w:val="none"/>
        </w:rPr>
      </w:pPr>
      <w:r>
        <w:rPr>
          <w:rFonts w:hint="eastAsia" w:ascii="宋体" w:hAnsi="宋体" w:cs="宋体"/>
          <w:color w:val="auto"/>
          <w:szCs w:val="21"/>
          <w:highlight w:val="none"/>
        </w:rPr>
        <w:t>中心供应室、静配中心、质谱室、实验室（包含PCR实验室、细胞、分子实验室）仅净化区域配置暖通系统，新风自取。</w:t>
      </w:r>
    </w:p>
    <w:p>
      <w:pPr>
        <w:numPr>
          <w:ilvl w:val="0"/>
          <w:numId w:val="78"/>
        </w:numPr>
        <w:spacing w:line="360" w:lineRule="auto"/>
        <w:rPr>
          <w:rFonts w:ascii="宋体" w:hAnsi="宋体" w:cs="宋体"/>
          <w:color w:val="auto"/>
          <w:szCs w:val="21"/>
          <w:highlight w:val="none"/>
        </w:rPr>
      </w:pPr>
      <w:r>
        <w:rPr>
          <w:rFonts w:hint="eastAsia" w:ascii="宋体" w:hAnsi="宋体" w:cs="宋体"/>
          <w:color w:val="auto"/>
          <w:szCs w:val="21"/>
          <w:highlight w:val="none"/>
        </w:rPr>
        <w:t>本净化工程的净化区域内的加湿方式为采用电热式加湿器加湿。</w:t>
      </w:r>
    </w:p>
    <w:p>
      <w:pPr>
        <w:numPr>
          <w:ilvl w:val="0"/>
          <w:numId w:val="78"/>
        </w:numPr>
        <w:spacing w:line="360" w:lineRule="auto"/>
        <w:rPr>
          <w:rFonts w:ascii="宋体" w:hAnsi="宋体" w:cs="宋体"/>
          <w:color w:val="auto"/>
          <w:szCs w:val="21"/>
          <w:highlight w:val="none"/>
        </w:rPr>
      </w:pPr>
      <w:r>
        <w:rPr>
          <w:rFonts w:hint="eastAsia" w:ascii="宋体" w:hAnsi="宋体" w:cs="宋体"/>
          <w:color w:val="auto"/>
          <w:szCs w:val="21"/>
          <w:highlight w:val="none"/>
        </w:rPr>
        <w:t>除特殊要求外，本工程风管采用优质镀锌钢板风管。空调供回水管管径小于DN80采用热镀锌钢管，螺纹连接；大于等于DN80采用无缝钢管，焊接。冷凝水管道采用镀锌钢管，螺纹连接。加湿器管道采用镀锌钢管，螺纹连接。</w:t>
      </w:r>
    </w:p>
    <w:p>
      <w:pPr>
        <w:numPr>
          <w:ilvl w:val="0"/>
          <w:numId w:val="78"/>
        </w:numPr>
        <w:spacing w:line="360" w:lineRule="auto"/>
        <w:rPr>
          <w:rFonts w:ascii="宋体" w:hAnsi="宋体" w:cs="宋体"/>
          <w:color w:val="auto"/>
          <w:szCs w:val="21"/>
          <w:highlight w:val="none"/>
        </w:rPr>
      </w:pPr>
      <w:r>
        <w:rPr>
          <w:rFonts w:hint="eastAsia" w:ascii="宋体" w:hAnsi="宋体" w:cs="宋体"/>
          <w:color w:val="auto"/>
          <w:szCs w:val="21"/>
          <w:highlight w:val="none"/>
        </w:rPr>
        <w:t>净化区域内房间采用机械排风装置，保证室内空气质量，维持室内正压或负压控制。</w:t>
      </w:r>
    </w:p>
    <w:p>
      <w:pPr>
        <w:numPr>
          <w:ilvl w:val="0"/>
          <w:numId w:val="78"/>
        </w:numPr>
        <w:spacing w:line="360" w:lineRule="auto"/>
        <w:rPr>
          <w:rFonts w:ascii="宋体" w:hAnsi="宋体" w:cs="宋体"/>
          <w:color w:val="auto"/>
          <w:szCs w:val="21"/>
          <w:highlight w:val="none"/>
        </w:rPr>
      </w:pPr>
      <w:r>
        <w:rPr>
          <w:rFonts w:hint="eastAsia" w:ascii="宋体" w:hAnsi="宋体" w:cs="宋体"/>
          <w:color w:val="auto"/>
          <w:szCs w:val="21"/>
          <w:highlight w:val="none"/>
        </w:rPr>
        <w:t>中心供应室、静配中心、实验室（包含PCR实验室、细胞、分子实验室、）仅净化区域内房间采用上送下排风形式。其气流组织应为定向流，送风由清洁区流向污染区，均采用高效送风口送风。</w:t>
      </w:r>
    </w:p>
    <w:p>
      <w:pPr>
        <w:numPr>
          <w:ilvl w:val="0"/>
          <w:numId w:val="78"/>
        </w:numPr>
        <w:spacing w:line="360" w:lineRule="auto"/>
        <w:rPr>
          <w:rFonts w:ascii="宋体" w:hAnsi="宋体" w:cs="宋体"/>
          <w:color w:val="auto"/>
          <w:szCs w:val="21"/>
          <w:highlight w:val="none"/>
        </w:rPr>
      </w:pPr>
      <w:r>
        <w:rPr>
          <w:rFonts w:hint="eastAsia" w:ascii="宋体" w:hAnsi="宋体" w:cs="宋体"/>
          <w:color w:val="auto"/>
          <w:szCs w:val="21"/>
          <w:highlight w:val="none"/>
        </w:rPr>
        <w:t>本工程水系统采用四管制定流量系统。范围内的各科室的净化区域的全年冷热源在本次招标范围内，冷热源采用模块化风冷热泵机组，需按照各科室实际冷热需求，合理配置冷热源系统。</w:t>
      </w:r>
    </w:p>
    <w:p>
      <w:pPr>
        <w:numPr>
          <w:ilvl w:val="0"/>
          <w:numId w:val="78"/>
        </w:numPr>
        <w:spacing w:line="360" w:lineRule="auto"/>
        <w:rPr>
          <w:rFonts w:ascii="宋体" w:hAnsi="宋体" w:cs="宋体"/>
          <w:color w:val="auto"/>
          <w:szCs w:val="21"/>
          <w:highlight w:val="none"/>
        </w:rPr>
      </w:pPr>
      <w:r>
        <w:rPr>
          <w:rFonts w:hint="eastAsia"/>
          <w:color w:val="auto"/>
          <w:highlight w:val="none"/>
        </w:rPr>
        <w:t>遗传PCR实验室从1~6区设置压力差，梯度由高到低为5~10KPa压力差；其中测序区要求温度20±2℃，湿度50±10%；缓冲区需要互锁。</w:t>
      </w:r>
    </w:p>
    <w:p>
      <w:pPr>
        <w:pStyle w:val="9"/>
        <w:numPr>
          <w:ilvl w:val="0"/>
          <w:numId w:val="77"/>
        </w:numPr>
        <w:adjustRightInd w:val="0"/>
        <w:snapToGrid w:val="0"/>
        <w:spacing w:before="0" w:after="0" w:line="360" w:lineRule="auto"/>
        <w:rPr>
          <w:rFonts w:ascii="宋体" w:hAnsi="宋体" w:cs="宋体"/>
          <w:color w:val="auto"/>
          <w:sz w:val="21"/>
          <w:szCs w:val="21"/>
          <w:highlight w:val="none"/>
        </w:rPr>
      </w:pPr>
      <w:r>
        <w:rPr>
          <w:rFonts w:hint="eastAsia" w:ascii="宋体" w:hAnsi="宋体" w:cs="宋体"/>
          <w:color w:val="auto"/>
          <w:sz w:val="21"/>
          <w:szCs w:val="21"/>
          <w:highlight w:val="none"/>
        </w:rPr>
        <w:t>净化空调自动化控制系统设计要求</w:t>
      </w:r>
    </w:p>
    <w:p>
      <w:pPr>
        <w:numPr>
          <w:ilvl w:val="0"/>
          <w:numId w:val="79"/>
        </w:numPr>
        <w:spacing w:line="360" w:lineRule="auto"/>
        <w:rPr>
          <w:rFonts w:ascii="宋体" w:hAnsi="宋体" w:cs="宋体"/>
          <w:color w:val="auto"/>
          <w:szCs w:val="21"/>
          <w:highlight w:val="none"/>
        </w:rPr>
      </w:pPr>
      <w:r>
        <w:rPr>
          <w:rFonts w:hint="eastAsia" w:ascii="宋体" w:hAnsi="宋体" w:cs="宋体"/>
          <w:color w:val="auto"/>
          <w:szCs w:val="21"/>
          <w:highlight w:val="none"/>
        </w:rPr>
        <w:t>整体要求：采用国际著名品牌多功能控制器、温、湿度传感器，压差开关、风阀执行器、电动比例积分三通调节阀、变频器等对系统的风量及温湿度进行控制。</w:t>
      </w:r>
    </w:p>
    <w:p>
      <w:pPr>
        <w:numPr>
          <w:ilvl w:val="0"/>
          <w:numId w:val="79"/>
        </w:numPr>
        <w:spacing w:line="360" w:lineRule="auto"/>
        <w:rPr>
          <w:rFonts w:ascii="宋体" w:hAnsi="宋体" w:cs="宋体"/>
          <w:color w:val="auto"/>
          <w:szCs w:val="21"/>
          <w:highlight w:val="none"/>
        </w:rPr>
      </w:pPr>
      <w:r>
        <w:rPr>
          <w:rFonts w:hint="eastAsia" w:ascii="宋体" w:hAnsi="宋体" w:cs="宋体"/>
          <w:color w:val="auto"/>
          <w:szCs w:val="21"/>
          <w:highlight w:val="none"/>
        </w:rPr>
        <w:t>PCR实验室均选用两套净化循环机组（含自取新风机组），每个系统设置一个单联空调控制面板。集中净化新风机组不设置控制面板，由循环机组联动控制。净化空调控制系统的控制必需满足机房本地控制和手术室控制的功能需求。实验室的排风机应与送风机连锁，排风机应先于送风机开启，后于送风机关闭。</w:t>
      </w:r>
    </w:p>
    <w:p>
      <w:pPr>
        <w:numPr>
          <w:ilvl w:val="0"/>
          <w:numId w:val="79"/>
        </w:numPr>
        <w:spacing w:line="360" w:lineRule="auto"/>
        <w:rPr>
          <w:rFonts w:ascii="宋体" w:hAnsi="宋体" w:cs="宋体"/>
          <w:color w:val="auto"/>
          <w:szCs w:val="21"/>
          <w:highlight w:val="none"/>
        </w:rPr>
      </w:pPr>
      <w:r>
        <w:rPr>
          <w:rFonts w:hint="eastAsia" w:ascii="宋体" w:hAnsi="宋体" w:cs="宋体"/>
          <w:color w:val="auto"/>
          <w:szCs w:val="21"/>
          <w:highlight w:val="none"/>
        </w:rPr>
        <w:t>室内空调控制面板应可以实现以下的控制功能：</w:t>
      </w:r>
    </w:p>
    <w:p>
      <w:pPr>
        <w:numPr>
          <w:ilvl w:val="0"/>
          <w:numId w:val="80"/>
        </w:numPr>
        <w:spacing w:line="360" w:lineRule="auto"/>
        <w:ind w:left="0" w:firstLine="403"/>
        <w:rPr>
          <w:rFonts w:ascii="宋体" w:hAnsi="宋体" w:cs="宋体"/>
          <w:color w:val="auto"/>
          <w:szCs w:val="21"/>
          <w:highlight w:val="none"/>
        </w:rPr>
      </w:pPr>
      <w:r>
        <w:rPr>
          <w:rFonts w:hint="eastAsia" w:ascii="宋体" w:hAnsi="宋体" w:cs="宋体"/>
          <w:color w:val="auto"/>
          <w:szCs w:val="21"/>
          <w:highlight w:val="none"/>
        </w:rPr>
        <w:t>机组启、停；</w:t>
      </w:r>
    </w:p>
    <w:p>
      <w:pPr>
        <w:numPr>
          <w:ilvl w:val="0"/>
          <w:numId w:val="80"/>
        </w:numPr>
        <w:spacing w:line="360" w:lineRule="auto"/>
        <w:ind w:left="0" w:firstLine="403"/>
        <w:rPr>
          <w:rFonts w:ascii="宋体" w:hAnsi="宋体" w:cs="宋体"/>
          <w:color w:val="auto"/>
          <w:szCs w:val="21"/>
          <w:highlight w:val="none"/>
        </w:rPr>
      </w:pPr>
      <w:r>
        <w:rPr>
          <w:rFonts w:hint="eastAsia" w:ascii="宋体" w:hAnsi="宋体" w:cs="宋体"/>
          <w:color w:val="auto"/>
          <w:szCs w:val="21"/>
          <w:highlight w:val="none"/>
        </w:rPr>
        <w:t>温度的设定；</w:t>
      </w:r>
    </w:p>
    <w:p>
      <w:pPr>
        <w:numPr>
          <w:ilvl w:val="0"/>
          <w:numId w:val="80"/>
        </w:numPr>
        <w:spacing w:line="360" w:lineRule="auto"/>
        <w:ind w:left="0" w:firstLine="403"/>
        <w:rPr>
          <w:rFonts w:ascii="宋体" w:hAnsi="宋体" w:cs="宋体"/>
          <w:color w:val="auto"/>
          <w:szCs w:val="21"/>
          <w:highlight w:val="none"/>
        </w:rPr>
      </w:pPr>
      <w:r>
        <w:rPr>
          <w:rFonts w:hint="eastAsia" w:ascii="宋体" w:hAnsi="宋体" w:cs="宋体"/>
          <w:color w:val="auto"/>
          <w:szCs w:val="21"/>
          <w:highlight w:val="none"/>
        </w:rPr>
        <w:t>室内温、湿度的显示；</w:t>
      </w:r>
    </w:p>
    <w:p>
      <w:pPr>
        <w:numPr>
          <w:ilvl w:val="0"/>
          <w:numId w:val="80"/>
        </w:numPr>
        <w:spacing w:line="360" w:lineRule="auto"/>
        <w:ind w:left="0" w:firstLine="403"/>
        <w:rPr>
          <w:rFonts w:ascii="宋体" w:hAnsi="宋体" w:cs="宋体"/>
          <w:color w:val="auto"/>
          <w:szCs w:val="21"/>
          <w:highlight w:val="none"/>
        </w:rPr>
      </w:pPr>
      <w:r>
        <w:rPr>
          <w:rFonts w:hint="eastAsia" w:ascii="宋体" w:hAnsi="宋体" w:cs="宋体"/>
          <w:color w:val="auto"/>
          <w:szCs w:val="21"/>
          <w:highlight w:val="none"/>
        </w:rPr>
        <w:t>机组值班状态指示；</w:t>
      </w:r>
    </w:p>
    <w:p>
      <w:pPr>
        <w:numPr>
          <w:ilvl w:val="0"/>
          <w:numId w:val="80"/>
        </w:numPr>
        <w:spacing w:line="360" w:lineRule="auto"/>
        <w:ind w:left="0" w:firstLine="403"/>
        <w:rPr>
          <w:rFonts w:ascii="宋体" w:hAnsi="宋体" w:cs="宋体"/>
          <w:color w:val="auto"/>
          <w:szCs w:val="21"/>
          <w:highlight w:val="none"/>
        </w:rPr>
      </w:pPr>
      <w:r>
        <w:rPr>
          <w:rFonts w:hint="eastAsia" w:ascii="宋体" w:hAnsi="宋体" w:cs="宋体"/>
          <w:color w:val="auto"/>
          <w:szCs w:val="21"/>
          <w:highlight w:val="none"/>
        </w:rPr>
        <w:t>机组运行指示；</w:t>
      </w:r>
    </w:p>
    <w:p>
      <w:pPr>
        <w:numPr>
          <w:ilvl w:val="0"/>
          <w:numId w:val="80"/>
        </w:numPr>
        <w:spacing w:line="360" w:lineRule="auto"/>
        <w:ind w:left="0" w:firstLine="403"/>
        <w:rPr>
          <w:rFonts w:ascii="宋体" w:hAnsi="宋体" w:cs="宋体"/>
          <w:color w:val="auto"/>
          <w:szCs w:val="21"/>
          <w:highlight w:val="none"/>
        </w:rPr>
      </w:pPr>
      <w:r>
        <w:rPr>
          <w:rFonts w:hint="eastAsia" w:ascii="宋体" w:hAnsi="宋体" w:cs="宋体"/>
          <w:color w:val="auto"/>
          <w:szCs w:val="21"/>
          <w:highlight w:val="none"/>
        </w:rPr>
        <w:t>机组故障指示；</w:t>
      </w:r>
    </w:p>
    <w:p>
      <w:pPr>
        <w:numPr>
          <w:ilvl w:val="0"/>
          <w:numId w:val="80"/>
        </w:numPr>
        <w:spacing w:line="360" w:lineRule="auto"/>
        <w:ind w:left="0" w:firstLine="403"/>
        <w:rPr>
          <w:rFonts w:ascii="宋体" w:hAnsi="宋体" w:cs="宋体"/>
          <w:color w:val="auto"/>
          <w:szCs w:val="21"/>
          <w:highlight w:val="none"/>
        </w:rPr>
      </w:pPr>
      <w:r>
        <w:rPr>
          <w:rFonts w:hint="eastAsia" w:ascii="宋体" w:hAnsi="宋体" w:cs="宋体"/>
          <w:color w:val="auto"/>
          <w:szCs w:val="21"/>
          <w:highlight w:val="none"/>
        </w:rPr>
        <w:t>室内外压差显示；</w:t>
      </w:r>
    </w:p>
    <w:p>
      <w:pPr>
        <w:numPr>
          <w:ilvl w:val="0"/>
          <w:numId w:val="80"/>
        </w:numPr>
        <w:spacing w:line="360" w:lineRule="auto"/>
        <w:ind w:left="0" w:firstLine="403"/>
        <w:rPr>
          <w:rFonts w:ascii="宋体" w:hAnsi="宋体" w:cs="宋体"/>
          <w:color w:val="auto"/>
          <w:szCs w:val="21"/>
          <w:highlight w:val="none"/>
        </w:rPr>
      </w:pPr>
      <w:r>
        <w:rPr>
          <w:rFonts w:hint="eastAsia" w:ascii="宋体" w:hAnsi="宋体" w:cs="宋体"/>
          <w:color w:val="auto"/>
          <w:szCs w:val="21"/>
          <w:highlight w:val="none"/>
        </w:rPr>
        <w:t>带通讯模块，提供通用协议，信息可供外部调用。</w:t>
      </w:r>
    </w:p>
    <w:p>
      <w:pPr>
        <w:numPr>
          <w:ilvl w:val="0"/>
          <w:numId w:val="79"/>
        </w:numPr>
        <w:spacing w:line="360" w:lineRule="auto"/>
        <w:rPr>
          <w:rFonts w:ascii="宋体" w:hAnsi="宋体" w:cs="宋体"/>
          <w:color w:val="auto"/>
          <w:szCs w:val="21"/>
          <w:highlight w:val="none"/>
        </w:rPr>
      </w:pPr>
      <w:r>
        <w:rPr>
          <w:rFonts w:hint="eastAsia" w:ascii="宋体" w:hAnsi="宋体" w:cs="宋体"/>
          <w:color w:val="auto"/>
          <w:szCs w:val="21"/>
          <w:highlight w:val="none"/>
        </w:rPr>
        <w:t>机房控制柜内还应可以实现以下的控制功能：</w:t>
      </w:r>
    </w:p>
    <w:p>
      <w:pPr>
        <w:numPr>
          <w:ilvl w:val="0"/>
          <w:numId w:val="81"/>
        </w:numPr>
        <w:spacing w:line="360" w:lineRule="auto"/>
        <w:ind w:left="0" w:firstLine="403"/>
        <w:rPr>
          <w:rFonts w:ascii="宋体" w:hAnsi="宋体" w:cs="宋体"/>
          <w:color w:val="auto"/>
          <w:szCs w:val="21"/>
          <w:highlight w:val="none"/>
        </w:rPr>
      </w:pPr>
      <w:r>
        <w:rPr>
          <w:rFonts w:hint="eastAsia" w:ascii="宋体" w:hAnsi="宋体" w:cs="宋体"/>
          <w:color w:val="auto"/>
          <w:szCs w:val="21"/>
          <w:highlight w:val="none"/>
        </w:rPr>
        <w:t>室内控制面板实现的全部功能；</w:t>
      </w:r>
    </w:p>
    <w:p>
      <w:pPr>
        <w:numPr>
          <w:ilvl w:val="0"/>
          <w:numId w:val="81"/>
        </w:numPr>
        <w:spacing w:line="360" w:lineRule="auto"/>
        <w:ind w:left="0" w:firstLine="403"/>
        <w:rPr>
          <w:rFonts w:ascii="宋体" w:hAnsi="宋体" w:cs="宋体"/>
          <w:color w:val="auto"/>
          <w:szCs w:val="21"/>
          <w:highlight w:val="none"/>
        </w:rPr>
      </w:pPr>
      <w:r>
        <w:rPr>
          <w:rFonts w:hint="eastAsia" w:ascii="宋体" w:hAnsi="宋体" w:cs="宋体"/>
          <w:color w:val="auto"/>
          <w:szCs w:val="21"/>
          <w:highlight w:val="none"/>
        </w:rPr>
        <w:t>风机运行频率显示；</w:t>
      </w:r>
    </w:p>
    <w:p>
      <w:pPr>
        <w:numPr>
          <w:ilvl w:val="0"/>
          <w:numId w:val="81"/>
        </w:numPr>
        <w:spacing w:line="360" w:lineRule="auto"/>
        <w:ind w:left="0" w:firstLine="403"/>
        <w:rPr>
          <w:rFonts w:ascii="宋体" w:hAnsi="宋体" w:cs="宋体"/>
          <w:color w:val="auto"/>
          <w:szCs w:val="21"/>
          <w:highlight w:val="none"/>
        </w:rPr>
      </w:pPr>
      <w:r>
        <w:rPr>
          <w:rFonts w:hint="eastAsia" w:ascii="宋体" w:hAnsi="宋体" w:cs="宋体"/>
          <w:color w:val="auto"/>
          <w:szCs w:val="21"/>
          <w:highlight w:val="none"/>
        </w:rPr>
        <w:t>中效过滤网堵塞报警、缺风保护报警、风机运行情况及过载报警、洁净室排风机运行状态显示、加湿器运行状态和故障显示等；</w:t>
      </w:r>
    </w:p>
    <w:p>
      <w:pPr>
        <w:numPr>
          <w:ilvl w:val="0"/>
          <w:numId w:val="81"/>
        </w:numPr>
        <w:spacing w:line="360" w:lineRule="auto"/>
        <w:ind w:left="0" w:firstLine="403"/>
        <w:rPr>
          <w:rFonts w:ascii="宋体" w:hAnsi="宋体" w:cs="宋体"/>
          <w:color w:val="auto"/>
          <w:szCs w:val="21"/>
          <w:highlight w:val="none"/>
        </w:rPr>
      </w:pPr>
      <w:r>
        <w:rPr>
          <w:rFonts w:hint="eastAsia" w:ascii="宋体" w:hAnsi="宋体" w:cs="宋体"/>
          <w:color w:val="auto"/>
          <w:szCs w:val="21"/>
          <w:highlight w:val="none"/>
        </w:rPr>
        <w:t>手、自动风量调频切换；</w:t>
      </w:r>
    </w:p>
    <w:p>
      <w:pPr>
        <w:numPr>
          <w:ilvl w:val="0"/>
          <w:numId w:val="81"/>
        </w:numPr>
        <w:spacing w:line="360" w:lineRule="auto"/>
        <w:ind w:left="0" w:firstLine="403"/>
        <w:rPr>
          <w:rFonts w:ascii="宋体" w:hAnsi="宋体" w:cs="宋体"/>
          <w:color w:val="auto"/>
          <w:szCs w:val="21"/>
          <w:highlight w:val="none"/>
        </w:rPr>
      </w:pPr>
      <w:r>
        <w:rPr>
          <w:rFonts w:hint="eastAsia" w:ascii="宋体" w:hAnsi="宋体" w:cs="宋体"/>
          <w:color w:val="auto"/>
          <w:szCs w:val="21"/>
          <w:highlight w:val="none"/>
        </w:rPr>
        <w:t>冷热水调节阀、加湿器和电加热器工作状态；</w:t>
      </w:r>
    </w:p>
    <w:p>
      <w:pPr>
        <w:numPr>
          <w:ilvl w:val="0"/>
          <w:numId w:val="81"/>
        </w:numPr>
        <w:spacing w:line="360" w:lineRule="auto"/>
        <w:ind w:left="0" w:firstLine="403"/>
        <w:rPr>
          <w:rFonts w:ascii="宋体" w:hAnsi="宋体" w:cs="宋体"/>
          <w:color w:val="auto"/>
          <w:szCs w:val="21"/>
          <w:highlight w:val="none"/>
        </w:rPr>
      </w:pPr>
      <w:r>
        <w:rPr>
          <w:rFonts w:hint="eastAsia" w:ascii="宋体" w:hAnsi="宋体" w:cs="宋体"/>
          <w:color w:val="auto"/>
          <w:szCs w:val="21"/>
          <w:highlight w:val="none"/>
        </w:rPr>
        <w:t>试灯和功能切换；</w:t>
      </w:r>
    </w:p>
    <w:p>
      <w:pPr>
        <w:numPr>
          <w:ilvl w:val="0"/>
          <w:numId w:val="81"/>
        </w:numPr>
        <w:spacing w:line="360" w:lineRule="auto"/>
        <w:ind w:left="0" w:firstLine="403"/>
        <w:rPr>
          <w:rFonts w:ascii="宋体" w:hAnsi="宋体" w:cs="宋体"/>
          <w:color w:val="auto"/>
          <w:szCs w:val="21"/>
          <w:highlight w:val="none"/>
        </w:rPr>
      </w:pPr>
      <w:r>
        <w:rPr>
          <w:rFonts w:hint="eastAsia" w:ascii="宋体" w:hAnsi="宋体" w:cs="宋体"/>
          <w:color w:val="auto"/>
          <w:szCs w:val="21"/>
          <w:highlight w:val="none"/>
        </w:rPr>
        <w:t>各种控制参数（室内温、湿度；变频器频率等）的设定和修改。</w:t>
      </w:r>
    </w:p>
    <w:p>
      <w:pPr>
        <w:pStyle w:val="9"/>
        <w:numPr>
          <w:ilvl w:val="0"/>
          <w:numId w:val="71"/>
        </w:numPr>
        <w:spacing w:before="0" w:after="0" w:line="360" w:lineRule="auto"/>
        <w:rPr>
          <w:rFonts w:ascii="宋体" w:hAnsi="宋体" w:cs="宋体"/>
          <w:color w:val="auto"/>
          <w:sz w:val="21"/>
          <w:szCs w:val="21"/>
          <w:highlight w:val="none"/>
        </w:rPr>
      </w:pPr>
      <w:r>
        <w:rPr>
          <w:rFonts w:hint="eastAsia" w:ascii="宋体" w:hAnsi="宋体" w:cs="宋体"/>
          <w:color w:val="auto"/>
          <w:sz w:val="21"/>
          <w:szCs w:val="21"/>
          <w:highlight w:val="none"/>
        </w:rPr>
        <w:t>强电系统工程技术要求</w:t>
      </w:r>
    </w:p>
    <w:p>
      <w:pPr>
        <w:spacing w:line="360" w:lineRule="auto"/>
        <w:ind w:left="400"/>
        <w:rPr>
          <w:rFonts w:ascii="宋体" w:hAnsi="宋体" w:cs="宋体"/>
          <w:color w:val="auto"/>
          <w:szCs w:val="21"/>
          <w:highlight w:val="none"/>
        </w:rPr>
      </w:pPr>
      <w:r>
        <w:rPr>
          <w:rFonts w:hint="eastAsia" w:ascii="宋体" w:hAnsi="宋体" w:cs="宋体"/>
          <w:color w:val="auto"/>
          <w:szCs w:val="21"/>
          <w:highlight w:val="none"/>
        </w:rPr>
        <w:t>1　招标方将双电源线引至中心供应室、静配中心、实验室（包含PCR实验室、细胞、分子实验室）及空调机房外双电源切换总配电箱内，配电箱及其之后所有的桥架、线管、电源线、照明、插座等工程全部由中标方采购、安装。</w:t>
      </w:r>
    </w:p>
    <w:p>
      <w:pPr>
        <w:numPr>
          <w:ilvl w:val="0"/>
          <w:numId w:val="82"/>
        </w:numPr>
        <w:spacing w:line="360" w:lineRule="auto"/>
        <w:rPr>
          <w:rFonts w:ascii="宋体" w:hAnsi="宋体" w:cs="宋体"/>
          <w:color w:val="auto"/>
          <w:szCs w:val="21"/>
          <w:highlight w:val="none"/>
        </w:rPr>
      </w:pPr>
      <w:r>
        <w:rPr>
          <w:rFonts w:hint="eastAsia" w:ascii="宋体" w:hAnsi="宋体" w:cs="宋体"/>
          <w:color w:val="auto"/>
          <w:szCs w:val="21"/>
          <w:highlight w:val="none"/>
        </w:rPr>
        <w:t>照明应采用医用LED平板灯，满足洁净环境气密性要求禁用普通灯带代替，灯带必须布置在送风口之外。</w:t>
      </w:r>
    </w:p>
    <w:p>
      <w:pPr>
        <w:numPr>
          <w:ilvl w:val="0"/>
          <w:numId w:val="82"/>
        </w:numPr>
        <w:spacing w:line="360" w:lineRule="auto"/>
        <w:rPr>
          <w:rFonts w:ascii="宋体" w:hAnsi="宋体" w:cs="宋体"/>
          <w:color w:val="auto"/>
          <w:szCs w:val="21"/>
          <w:highlight w:val="none"/>
        </w:rPr>
      </w:pPr>
      <w:r>
        <w:rPr>
          <w:rFonts w:hint="eastAsia" w:ascii="宋体" w:hAnsi="宋体" w:cs="宋体"/>
          <w:color w:val="auto"/>
          <w:szCs w:val="21"/>
          <w:highlight w:val="none"/>
        </w:rPr>
        <w:t>实验区域、供应室工作区域设计平均照度参照规范要求，其余辅房及走廊平均照度应参照规范要求；静配、实验室等实验区域需根据规范求设置等离子空气消毒机。</w:t>
      </w:r>
    </w:p>
    <w:p>
      <w:pPr>
        <w:numPr>
          <w:ilvl w:val="0"/>
          <w:numId w:val="82"/>
        </w:numPr>
        <w:adjustRightInd w:val="0"/>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电缆采用无卤低烟阻燃交联聚乙烯绝缘聚烯烃护套铜芯电力电缆。</w:t>
      </w:r>
    </w:p>
    <w:p>
      <w:pPr>
        <w:numPr>
          <w:ilvl w:val="0"/>
          <w:numId w:val="82"/>
        </w:numPr>
        <w:adjustRightInd w:val="0"/>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电缆、电线应采用金属管及金属桥架敷设。</w:t>
      </w:r>
    </w:p>
    <w:p>
      <w:pPr>
        <w:pStyle w:val="9"/>
        <w:numPr>
          <w:ilvl w:val="0"/>
          <w:numId w:val="71"/>
        </w:numPr>
        <w:spacing w:before="0" w:after="0" w:line="360" w:lineRule="auto"/>
        <w:rPr>
          <w:rFonts w:ascii="宋体" w:hAnsi="宋体" w:cs="宋体"/>
          <w:color w:val="auto"/>
          <w:sz w:val="21"/>
          <w:szCs w:val="21"/>
          <w:highlight w:val="none"/>
        </w:rPr>
      </w:pPr>
      <w:r>
        <w:rPr>
          <w:rFonts w:hint="eastAsia" w:ascii="宋体" w:hAnsi="宋体" w:cs="宋体"/>
          <w:color w:val="auto"/>
          <w:sz w:val="21"/>
          <w:szCs w:val="21"/>
          <w:highlight w:val="none"/>
        </w:rPr>
        <w:t>弱电系统工程技术要求</w:t>
      </w:r>
    </w:p>
    <w:p>
      <w:pPr>
        <w:pStyle w:val="9"/>
        <w:numPr>
          <w:ilvl w:val="0"/>
          <w:numId w:val="83"/>
        </w:numPr>
        <w:adjustRightInd w:val="0"/>
        <w:snapToGrid w:val="0"/>
        <w:spacing w:before="0" w:after="0" w:line="360" w:lineRule="auto"/>
        <w:rPr>
          <w:rFonts w:ascii="宋体" w:hAnsi="宋体" w:cs="宋体"/>
          <w:color w:val="auto"/>
          <w:sz w:val="21"/>
          <w:szCs w:val="21"/>
          <w:highlight w:val="none"/>
        </w:rPr>
      </w:pPr>
      <w:r>
        <w:rPr>
          <w:rFonts w:hint="eastAsia" w:ascii="宋体" w:hAnsi="宋体" w:cs="宋体"/>
          <w:color w:val="auto"/>
          <w:sz w:val="21"/>
          <w:szCs w:val="21"/>
          <w:highlight w:val="none"/>
        </w:rPr>
        <w:t>系统设计总体要求</w:t>
      </w:r>
    </w:p>
    <w:p>
      <w:pPr>
        <w:numPr>
          <w:ilvl w:val="0"/>
          <w:numId w:val="84"/>
        </w:numPr>
        <w:adjustRightInd w:val="0"/>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中心供应室、静配中心、实验室（包含PCR实验室、细胞、分子实验室）净化区域配置电话、网络系统、可视门禁系统、其余弱电系统不在本次招标范围内。</w:t>
      </w:r>
    </w:p>
    <w:p>
      <w:pPr>
        <w:numPr>
          <w:ilvl w:val="0"/>
          <w:numId w:val="84"/>
        </w:numPr>
        <w:adjustRightInd w:val="0"/>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所有设备及管线的招标、敷设均应符合国家电气、消防施工等相关技术规范要求。要求所有弱电的主机设备布局合理，整齐，美观，大方。</w:t>
      </w:r>
    </w:p>
    <w:p>
      <w:pPr>
        <w:pStyle w:val="9"/>
        <w:numPr>
          <w:ilvl w:val="0"/>
          <w:numId w:val="83"/>
        </w:numPr>
        <w:adjustRightInd w:val="0"/>
        <w:snapToGrid w:val="0"/>
        <w:spacing w:before="0" w:after="0" w:line="360" w:lineRule="auto"/>
        <w:rPr>
          <w:rFonts w:ascii="宋体" w:hAnsi="宋体" w:cs="宋体"/>
          <w:color w:val="auto"/>
          <w:sz w:val="21"/>
          <w:szCs w:val="21"/>
          <w:highlight w:val="none"/>
        </w:rPr>
      </w:pPr>
      <w:r>
        <w:rPr>
          <w:rFonts w:hint="eastAsia" w:ascii="宋体" w:hAnsi="宋体" w:cs="宋体"/>
          <w:color w:val="auto"/>
          <w:sz w:val="21"/>
          <w:szCs w:val="21"/>
          <w:highlight w:val="none"/>
        </w:rPr>
        <w:t>电话、网络系统</w:t>
      </w:r>
    </w:p>
    <w:p>
      <w:pPr>
        <w:numPr>
          <w:ilvl w:val="0"/>
          <w:numId w:val="85"/>
        </w:numPr>
        <w:adjustRightInd w:val="0"/>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中心供应室、静配中心、实验室（包含PCR实验室、细胞、分子实验室）净化区域按功能需求设置电话、网络插座。</w:t>
      </w:r>
    </w:p>
    <w:p>
      <w:pPr>
        <w:numPr>
          <w:ilvl w:val="0"/>
          <w:numId w:val="85"/>
        </w:numPr>
        <w:adjustRightInd w:val="0"/>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所有电话、网络线路引至弱电井内、预留长度4米，由招标方接入大楼信息系统。</w:t>
      </w:r>
    </w:p>
    <w:p>
      <w:pPr>
        <w:pStyle w:val="9"/>
        <w:numPr>
          <w:ilvl w:val="0"/>
          <w:numId w:val="83"/>
        </w:numPr>
        <w:adjustRightInd w:val="0"/>
        <w:snapToGrid w:val="0"/>
        <w:spacing w:before="0" w:after="0" w:line="360" w:lineRule="auto"/>
        <w:rPr>
          <w:rFonts w:ascii="宋体" w:hAnsi="宋体" w:cs="宋体"/>
          <w:color w:val="auto"/>
          <w:sz w:val="21"/>
          <w:szCs w:val="21"/>
          <w:highlight w:val="none"/>
        </w:rPr>
      </w:pPr>
      <w:r>
        <w:rPr>
          <w:rFonts w:hint="eastAsia" w:ascii="宋体" w:hAnsi="宋体" w:cs="宋体"/>
          <w:color w:val="auto"/>
          <w:sz w:val="21"/>
          <w:szCs w:val="21"/>
          <w:highlight w:val="none"/>
        </w:rPr>
        <w:t>可视门禁系统</w:t>
      </w:r>
    </w:p>
    <w:p>
      <w:pPr>
        <w:numPr>
          <w:ilvl w:val="0"/>
          <w:numId w:val="86"/>
        </w:numPr>
        <w:adjustRightInd w:val="0"/>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中心供应室、静配中心、实验室（包含PCR实验室、细胞、分子实验室）净化区域各主要人员出入口、物品出入口、标本入口处设置门禁系统门口机，系统主机室内机设置于办公室（具体以发标平面图布置的位置为准）。系统可实现门铃呼叫主机、刷卡、密码输入等方式。</w:t>
      </w:r>
    </w:p>
    <w:p>
      <w:pPr>
        <w:numPr>
          <w:ilvl w:val="0"/>
          <w:numId w:val="86"/>
        </w:numPr>
        <w:adjustRightInd w:val="0"/>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系统由门禁控制器、读卡器、IC卡、电子门锁组成及开门按钮。门禁控制器在吊顶内距吊顶0.2米安装，读卡器、电子门锁结合门的形式安装，读卡器安装高度为1.5米。</w:t>
      </w:r>
    </w:p>
    <w:p>
      <w:pPr>
        <w:numPr>
          <w:ilvl w:val="0"/>
          <w:numId w:val="86"/>
        </w:numPr>
        <w:tabs>
          <w:tab w:val="left" w:pos="510"/>
          <w:tab w:val="left" w:pos="540"/>
        </w:tabs>
        <w:adjustRightInd w:val="0"/>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通信及线路要求：门口机与室内机间采用TCP/IP协议，采用六类屏蔽网线STP.CAT6.4p。 </w:t>
      </w:r>
    </w:p>
    <w:p>
      <w:pPr>
        <w:pStyle w:val="9"/>
        <w:adjustRightInd w:val="0"/>
        <w:snapToGrid w:val="0"/>
        <w:spacing w:before="0" w:after="0" w:line="360" w:lineRule="auto"/>
        <w:ind w:left="420"/>
        <w:rPr>
          <w:rFonts w:ascii="宋体" w:hAnsi="宋体" w:cs="宋体"/>
          <w:color w:val="auto"/>
          <w:sz w:val="21"/>
          <w:szCs w:val="21"/>
          <w:highlight w:val="none"/>
        </w:rPr>
      </w:pPr>
      <w:r>
        <w:rPr>
          <w:rFonts w:hint="eastAsia" w:ascii="宋体" w:hAnsi="宋体" w:cs="宋体"/>
          <w:color w:val="auto"/>
          <w:sz w:val="21"/>
          <w:szCs w:val="21"/>
          <w:highlight w:val="none"/>
        </w:rPr>
        <w:t>4</w:t>
      </w:r>
      <w:r>
        <w:rPr>
          <w:rFonts w:ascii="宋体" w:hAnsi="宋体" w:cs="宋体"/>
          <w:color w:val="auto"/>
          <w:sz w:val="21"/>
          <w:szCs w:val="21"/>
          <w:highlight w:val="none"/>
        </w:rPr>
        <w:t>.</w:t>
      </w:r>
      <w:r>
        <w:rPr>
          <w:rFonts w:hint="eastAsia" w:ascii="宋体" w:hAnsi="宋体" w:cs="宋体"/>
          <w:color w:val="auto"/>
          <w:sz w:val="21"/>
          <w:szCs w:val="21"/>
          <w:highlight w:val="none"/>
        </w:rPr>
        <w:t>病理科智能空气质量检测系统</w:t>
      </w:r>
    </w:p>
    <w:p>
      <w:pPr>
        <w:tabs>
          <w:tab w:val="left" w:pos="510"/>
          <w:tab w:val="left" w:pos="540"/>
        </w:tabs>
        <w:adjustRightInd w:val="0"/>
        <w:snapToGrid w:val="0"/>
        <w:spacing w:line="360" w:lineRule="auto"/>
        <w:ind w:left="400"/>
        <w:rPr>
          <w:rFonts w:ascii="宋体" w:hAnsi="宋体" w:cs="宋体"/>
          <w:color w:val="auto"/>
          <w:szCs w:val="21"/>
          <w:highlight w:val="none"/>
        </w:rPr>
      </w:pPr>
      <w:r>
        <w:rPr>
          <w:rFonts w:hint="eastAsia" w:ascii="宋体" w:hAnsi="宋体" w:cs="宋体"/>
          <w:color w:val="auto"/>
          <w:szCs w:val="21"/>
          <w:highlight w:val="none"/>
        </w:rPr>
        <w:t>①空气处理系统：由智能空气质量监测控制中枢（</w:t>
      </w:r>
      <w:r>
        <w:rPr>
          <w:rFonts w:hint="eastAsia" w:ascii="宋体" w:hAnsi="宋体" w:cs="宋体"/>
          <w:color w:val="auto"/>
          <w:szCs w:val="21"/>
          <w:highlight w:val="none"/>
          <w:lang w:bidi="ar"/>
        </w:rPr>
        <w:t>系统中央控制塔</w:t>
      </w:r>
      <w:r>
        <w:rPr>
          <w:rFonts w:hint="eastAsia" w:ascii="宋体" w:hAnsi="宋体" w:cs="宋体"/>
          <w:color w:val="auto"/>
          <w:szCs w:val="21"/>
          <w:highlight w:val="none"/>
        </w:rPr>
        <w:t>）、</w:t>
      </w:r>
      <w:r>
        <w:rPr>
          <w:rFonts w:hint="eastAsia" w:ascii="宋体" w:hAnsi="宋体" w:cs="宋体"/>
          <w:color w:val="auto"/>
          <w:szCs w:val="21"/>
          <w:highlight w:val="none"/>
          <w:lang w:bidi="ar"/>
        </w:rPr>
        <w:t>远程监测报警与质控评价软件模块、</w:t>
      </w:r>
      <w:r>
        <w:rPr>
          <w:rFonts w:hint="eastAsia" w:ascii="宋体" w:hAnsi="宋体" w:cs="宋体"/>
          <w:color w:val="auto"/>
          <w:szCs w:val="21"/>
          <w:highlight w:val="none"/>
        </w:rPr>
        <w:t>离子空气处理主机、</w:t>
      </w:r>
      <w:r>
        <w:rPr>
          <w:rFonts w:hint="eastAsia" w:ascii="宋体" w:hAnsi="宋体" w:cs="宋体"/>
          <w:color w:val="auto"/>
          <w:szCs w:val="21"/>
          <w:highlight w:val="none"/>
          <w:lang w:bidi="ar"/>
        </w:rPr>
        <w:t>层流粒子布气装置、桌面导流连接立柱、桌面导流装置、组合式外排废气处理装置、</w:t>
      </w:r>
      <w:r>
        <w:rPr>
          <w:rFonts w:hint="eastAsia" w:ascii="宋体" w:hAnsi="宋体" w:cs="宋体"/>
          <w:color w:val="auto"/>
          <w:szCs w:val="21"/>
          <w:highlight w:val="none"/>
        </w:rPr>
        <w:t>臭氧检测仪、风速检测仪、voc检测仪（</w:t>
      </w:r>
      <w:r>
        <w:rPr>
          <w:rFonts w:hint="eastAsia" w:ascii="宋体" w:hAnsi="宋体" w:cs="宋体"/>
          <w:color w:val="auto"/>
          <w:szCs w:val="21"/>
          <w:highlight w:val="none"/>
          <w:lang w:bidi="ar"/>
        </w:rPr>
        <w:t>室内空气质量检测柱</w:t>
      </w:r>
      <w:r>
        <w:rPr>
          <w:rFonts w:hint="eastAsia" w:ascii="宋体" w:hAnsi="宋体" w:cs="宋体"/>
          <w:color w:val="auto"/>
          <w:szCs w:val="21"/>
          <w:highlight w:val="none"/>
        </w:rPr>
        <w:t>）、甲醛检测仪（</w:t>
      </w:r>
      <w:r>
        <w:rPr>
          <w:rFonts w:hint="eastAsia" w:ascii="宋体" w:hAnsi="宋体" w:cs="宋体"/>
          <w:color w:val="auto"/>
          <w:szCs w:val="21"/>
          <w:highlight w:val="none"/>
          <w:lang w:bidi="ar"/>
        </w:rPr>
        <w:t>空气质量检测柱）</w:t>
      </w:r>
      <w:r>
        <w:rPr>
          <w:rFonts w:hint="eastAsia" w:ascii="宋体" w:hAnsi="宋体" w:cs="宋体"/>
          <w:color w:val="auto"/>
          <w:szCs w:val="21"/>
          <w:highlight w:val="none"/>
        </w:rPr>
        <w:t>、二甲苯检测仪组成。</w:t>
      </w:r>
    </w:p>
    <w:p>
      <w:pPr>
        <w:adjustRightInd w:val="0"/>
        <w:snapToGrid w:val="0"/>
        <w:spacing w:line="360" w:lineRule="auto"/>
        <w:ind w:left="400"/>
        <w:rPr>
          <w:rFonts w:ascii="宋体" w:hAnsi="宋体" w:cs="宋体"/>
          <w:color w:val="auto"/>
          <w:szCs w:val="21"/>
          <w:highlight w:val="none"/>
          <w:lang w:bidi="ar"/>
        </w:rPr>
      </w:pPr>
      <w:r>
        <w:rPr>
          <w:rFonts w:hint="eastAsia" w:ascii="宋体" w:hAnsi="宋体" w:cs="宋体"/>
          <w:color w:val="auto"/>
          <w:szCs w:val="21"/>
          <w:highlight w:val="none"/>
        </w:rPr>
        <w:t>②配套通风实验设备：由</w:t>
      </w:r>
      <w:r>
        <w:rPr>
          <w:rFonts w:hint="eastAsia" w:ascii="宋体" w:hAnsi="宋体" w:cs="宋体"/>
          <w:color w:val="auto"/>
          <w:szCs w:val="21"/>
          <w:highlight w:val="none"/>
          <w:lang w:bidi="ar"/>
        </w:rPr>
        <w:t>新风型智能化生物安全水气分离式取材工作站台、染色通风柜、自动染色封片一体通风柜、脱水通风柜、安全型不锈钢标本柜、实验室台、边台、水槽组成。</w:t>
      </w:r>
    </w:p>
    <w:p>
      <w:pPr>
        <w:adjustRightInd w:val="0"/>
        <w:snapToGrid w:val="0"/>
        <w:spacing w:line="360" w:lineRule="auto"/>
        <w:ind w:left="400"/>
        <w:rPr>
          <w:rFonts w:ascii="宋体" w:hAnsi="宋体" w:cs="宋体"/>
          <w:color w:val="auto"/>
          <w:szCs w:val="21"/>
          <w:highlight w:val="none"/>
          <w:lang w:bidi="ar"/>
        </w:rPr>
      </w:pPr>
      <w:r>
        <w:rPr>
          <w:rFonts w:hint="eastAsia" w:ascii="宋体" w:hAnsi="宋体" w:cs="宋体"/>
          <w:color w:val="auto"/>
          <w:szCs w:val="21"/>
          <w:highlight w:val="none"/>
          <w:lang w:bidi="ar"/>
        </w:rPr>
        <w:t>③病理科机组包含全新风空气处理机组、离心式排风机组(变频)及通风工程的检测和调试。</w:t>
      </w:r>
    </w:p>
    <w:p>
      <w:pPr>
        <w:pStyle w:val="9"/>
        <w:numPr>
          <w:ilvl w:val="0"/>
          <w:numId w:val="71"/>
        </w:numPr>
        <w:spacing w:before="0" w:after="0" w:line="360" w:lineRule="auto"/>
        <w:rPr>
          <w:rFonts w:ascii="宋体" w:hAnsi="宋体" w:cs="宋体"/>
          <w:color w:val="auto"/>
          <w:sz w:val="21"/>
          <w:szCs w:val="21"/>
          <w:highlight w:val="none"/>
        </w:rPr>
      </w:pPr>
      <w:r>
        <w:rPr>
          <w:rFonts w:hint="eastAsia" w:ascii="宋体" w:hAnsi="宋体" w:cs="宋体"/>
          <w:color w:val="auto"/>
          <w:sz w:val="21"/>
          <w:szCs w:val="21"/>
          <w:highlight w:val="none"/>
        </w:rPr>
        <w:t>给排水系统工程技术要求</w:t>
      </w:r>
    </w:p>
    <w:p>
      <w:pPr>
        <w:pStyle w:val="9"/>
        <w:numPr>
          <w:ilvl w:val="0"/>
          <w:numId w:val="87"/>
        </w:numPr>
        <w:adjustRightInd w:val="0"/>
        <w:snapToGrid w:val="0"/>
        <w:spacing w:before="0" w:after="0" w:line="360" w:lineRule="auto"/>
        <w:rPr>
          <w:rFonts w:ascii="宋体" w:hAnsi="宋体" w:cs="宋体"/>
          <w:color w:val="auto"/>
          <w:sz w:val="21"/>
          <w:szCs w:val="21"/>
          <w:highlight w:val="none"/>
        </w:rPr>
      </w:pPr>
      <w:r>
        <w:rPr>
          <w:rFonts w:hint="eastAsia" w:ascii="宋体" w:hAnsi="宋体" w:cs="宋体"/>
          <w:color w:val="auto"/>
          <w:sz w:val="21"/>
          <w:szCs w:val="21"/>
          <w:highlight w:val="none"/>
        </w:rPr>
        <w:t>系统设计总体要求：</w:t>
      </w:r>
    </w:p>
    <w:p>
      <w:pPr>
        <w:numPr>
          <w:ilvl w:val="0"/>
          <w:numId w:val="49"/>
        </w:numPr>
        <w:adjustRightInd w:val="0"/>
        <w:snapToGrid w:val="0"/>
        <w:spacing w:line="360" w:lineRule="auto"/>
        <w:ind w:left="26"/>
        <w:rPr>
          <w:rFonts w:ascii="宋体" w:hAnsi="宋体" w:cs="宋体"/>
          <w:color w:val="auto"/>
          <w:szCs w:val="21"/>
          <w:highlight w:val="none"/>
        </w:rPr>
      </w:pPr>
      <w:r>
        <w:rPr>
          <w:rFonts w:hint="eastAsia" w:ascii="宋体" w:hAnsi="宋体" w:cs="宋体"/>
          <w:color w:val="auto"/>
          <w:szCs w:val="21"/>
          <w:highlight w:val="none"/>
        </w:rPr>
        <w:t>中心供应室、静配中心、实验室（包含PCR实验室、细胞、分子实验室）净化区域内所有洁具及给排水系统楼层支管在本次招标范围内：招标方负责在同层水管井或科室内预留0.3～0.4Mpa的生活冷热水阀门接口，招标方负责提供50℃的循环热水，并按照中标方用水点要求负责招标范围内给水管道系统； 招标方负责排水立管敷设，并预留接驳口，其后招标范围内洁具的采购及安装、洁具与排水立管的连接均由净化中标方负责。</w:t>
      </w:r>
    </w:p>
    <w:p>
      <w:pPr>
        <w:numPr>
          <w:ilvl w:val="0"/>
          <w:numId w:val="49"/>
        </w:numPr>
        <w:adjustRightInd w:val="0"/>
        <w:snapToGrid w:val="0"/>
        <w:spacing w:line="360" w:lineRule="auto"/>
        <w:ind w:left="26"/>
        <w:rPr>
          <w:rFonts w:ascii="宋体" w:hAnsi="宋体" w:cs="宋体"/>
          <w:color w:val="auto"/>
          <w:szCs w:val="21"/>
          <w:highlight w:val="none"/>
        </w:rPr>
      </w:pPr>
      <w:r>
        <w:rPr>
          <w:rFonts w:hint="eastAsia" w:ascii="宋体" w:hAnsi="宋体" w:cs="宋体"/>
          <w:color w:val="auto"/>
          <w:szCs w:val="21"/>
          <w:highlight w:val="none"/>
        </w:rPr>
        <w:t xml:space="preserve">中心供应室、静配中心、实验室（包含PCR实验室、细胞、分子实验室）净化区域内的冷水、热水管道采用给水薄壁不锈钢管（埋墙暗敷给水管采用覆膜不锈钢管），焊接。 </w:t>
      </w:r>
    </w:p>
    <w:p>
      <w:pPr>
        <w:numPr>
          <w:ilvl w:val="0"/>
          <w:numId w:val="49"/>
        </w:numPr>
        <w:adjustRightInd w:val="0"/>
        <w:snapToGrid w:val="0"/>
        <w:spacing w:line="360" w:lineRule="auto"/>
        <w:ind w:left="26"/>
        <w:rPr>
          <w:rFonts w:ascii="宋体" w:hAnsi="宋体" w:cs="宋体"/>
          <w:color w:val="auto"/>
          <w:szCs w:val="21"/>
          <w:highlight w:val="none"/>
        </w:rPr>
      </w:pPr>
      <w:r>
        <w:rPr>
          <w:rFonts w:hint="eastAsia" w:ascii="宋体" w:hAnsi="宋体" w:cs="宋体"/>
          <w:color w:val="auto"/>
          <w:szCs w:val="21"/>
          <w:highlight w:val="none"/>
        </w:rPr>
        <w:t>纯水、软水、蒸汽管道为304L不锈钢管道，焊接连接。</w:t>
      </w:r>
    </w:p>
    <w:p>
      <w:pPr>
        <w:numPr>
          <w:ilvl w:val="0"/>
          <w:numId w:val="49"/>
        </w:numPr>
        <w:adjustRightInd w:val="0"/>
        <w:snapToGrid w:val="0"/>
        <w:spacing w:line="360" w:lineRule="auto"/>
        <w:ind w:left="26"/>
        <w:rPr>
          <w:rFonts w:ascii="宋体" w:hAnsi="宋体" w:cs="宋体"/>
          <w:color w:val="auto"/>
          <w:szCs w:val="21"/>
          <w:highlight w:val="none"/>
        </w:rPr>
      </w:pPr>
      <w:r>
        <w:rPr>
          <w:rFonts w:hint="eastAsia" w:ascii="宋体" w:hAnsi="宋体" w:cs="宋体"/>
          <w:color w:val="auto"/>
          <w:szCs w:val="21"/>
          <w:highlight w:val="none"/>
        </w:rPr>
        <w:t>检验科、实验室生活污、废水排水管道采用PVC-U管,其余生活污、废水排水管道均采用柔性铸铁管，不锈钢卡箍连接；供应室高温废水排水管采用无缝钢管，焊接连接。</w:t>
      </w:r>
    </w:p>
    <w:p>
      <w:pPr>
        <w:numPr>
          <w:ilvl w:val="0"/>
          <w:numId w:val="49"/>
        </w:numPr>
        <w:adjustRightInd w:val="0"/>
        <w:snapToGrid w:val="0"/>
        <w:spacing w:line="360" w:lineRule="auto"/>
        <w:ind w:left="26"/>
        <w:rPr>
          <w:rFonts w:ascii="宋体" w:hAnsi="宋体" w:cs="宋体"/>
          <w:color w:val="auto"/>
          <w:szCs w:val="21"/>
          <w:highlight w:val="none"/>
        </w:rPr>
      </w:pPr>
      <w:r>
        <w:rPr>
          <w:rFonts w:hint="eastAsia" w:ascii="宋体" w:hAnsi="宋体" w:cs="宋体"/>
          <w:color w:val="auto"/>
          <w:szCs w:val="21"/>
          <w:highlight w:val="none"/>
        </w:rPr>
        <w:t>卫生洁具应采用不易积存污物且易于清扫；洗手盆、污洗池均应设置冷、热水；数量及位置见发标平面图纸。</w:t>
      </w:r>
    </w:p>
    <w:p>
      <w:pPr>
        <w:numPr>
          <w:ilvl w:val="0"/>
          <w:numId w:val="49"/>
        </w:numPr>
        <w:adjustRightInd w:val="0"/>
        <w:snapToGrid w:val="0"/>
        <w:spacing w:line="360" w:lineRule="auto"/>
        <w:ind w:left="26"/>
        <w:rPr>
          <w:rFonts w:ascii="宋体" w:hAnsi="宋体" w:cs="宋体"/>
          <w:color w:val="auto"/>
          <w:szCs w:val="21"/>
          <w:highlight w:val="none"/>
        </w:rPr>
      </w:pPr>
      <w:r>
        <w:rPr>
          <w:rFonts w:hint="eastAsia" w:ascii="宋体" w:hAnsi="宋体" w:cs="宋体"/>
          <w:color w:val="auto"/>
          <w:szCs w:val="21"/>
          <w:highlight w:val="none"/>
        </w:rPr>
        <w:t>净化区内的排水设备，必须在排水口的下部设置高水封装置。</w:t>
      </w:r>
    </w:p>
    <w:p>
      <w:pPr>
        <w:pStyle w:val="3"/>
        <w:numPr>
          <w:ilvl w:val="0"/>
          <w:numId w:val="49"/>
        </w:numPr>
        <w:adjustRightInd w:val="0"/>
        <w:snapToGrid w:val="0"/>
        <w:spacing w:line="360" w:lineRule="auto"/>
        <w:ind w:left="26"/>
        <w:rPr>
          <w:color w:val="auto"/>
          <w:kern w:val="2"/>
          <w:highlight w:val="none"/>
        </w:rPr>
      </w:pPr>
      <w:r>
        <w:rPr>
          <w:rFonts w:hint="eastAsia"/>
          <w:color w:val="auto"/>
          <w:kern w:val="2"/>
          <w:highlight w:val="none"/>
        </w:rPr>
        <w:t>中心供应室高温灭菌排水需要独立排放。</w:t>
      </w:r>
    </w:p>
    <w:p>
      <w:pPr>
        <w:pStyle w:val="75"/>
        <w:widowControl/>
        <w:snapToGrid w:val="0"/>
        <w:spacing w:line="360" w:lineRule="auto"/>
        <w:ind w:firstLine="0" w:firstLineChars="0"/>
        <w:outlineLvl w:val="1"/>
        <w:rPr>
          <w:b/>
          <w:bCs/>
          <w:color w:val="auto"/>
          <w:sz w:val="24"/>
          <w:szCs w:val="24"/>
          <w:highlight w:val="none"/>
        </w:rPr>
      </w:pPr>
      <w:r>
        <w:rPr>
          <w:rFonts w:hint="eastAsia"/>
          <w:b/>
          <w:bCs/>
          <w:color w:val="auto"/>
          <w:sz w:val="24"/>
          <w:szCs w:val="24"/>
          <w:highlight w:val="none"/>
        </w:rPr>
        <w:t>第四节 售后服务要求（本次招标范围内的所有项目均需提供三年质保期）</w:t>
      </w:r>
    </w:p>
    <w:p>
      <w:pPr>
        <w:pStyle w:val="75"/>
        <w:widowControl/>
        <w:numPr>
          <w:ilvl w:val="0"/>
          <w:numId w:val="88"/>
        </w:numPr>
        <w:snapToGrid w:val="0"/>
        <w:spacing w:line="360" w:lineRule="auto"/>
        <w:rPr>
          <w:color w:val="auto"/>
          <w:highlight w:val="none"/>
        </w:rPr>
      </w:pPr>
      <w:r>
        <w:rPr>
          <w:rFonts w:hint="eastAsia"/>
          <w:color w:val="auto"/>
          <w:highlight w:val="none"/>
        </w:rPr>
        <w:t>净化系统质保要求：</w:t>
      </w:r>
    </w:p>
    <w:p>
      <w:pPr>
        <w:pStyle w:val="75"/>
        <w:widowControl/>
        <w:snapToGrid w:val="0"/>
        <w:spacing w:line="360" w:lineRule="auto"/>
        <w:ind w:firstLine="630" w:firstLineChars="300"/>
        <w:rPr>
          <w:color w:val="auto"/>
          <w:highlight w:val="none"/>
        </w:rPr>
      </w:pPr>
      <w:r>
        <w:rPr>
          <w:rFonts w:hint="eastAsia"/>
          <w:color w:val="auto"/>
          <w:highlight w:val="none"/>
        </w:rPr>
        <w:t>质保范围：本次招标范围内的所有净化系统（含易损件）</w:t>
      </w:r>
    </w:p>
    <w:p>
      <w:pPr>
        <w:pStyle w:val="75"/>
        <w:widowControl/>
        <w:snapToGrid w:val="0"/>
        <w:spacing w:line="360" w:lineRule="auto"/>
        <w:ind w:firstLine="630" w:firstLineChars="300"/>
        <w:rPr>
          <w:color w:val="auto"/>
          <w:szCs w:val="22"/>
          <w:highlight w:val="none"/>
        </w:rPr>
      </w:pPr>
      <w:r>
        <w:rPr>
          <w:rFonts w:hint="eastAsia"/>
          <w:color w:val="auto"/>
          <w:highlight w:val="none"/>
        </w:rPr>
        <w:t>（1）每两个月更换初效过滤器，三个月更换中效过滤器，</w:t>
      </w:r>
      <w:r>
        <w:rPr>
          <w:rFonts w:hint="eastAsia"/>
          <w:color w:val="auto"/>
          <w:szCs w:val="22"/>
          <w:highlight w:val="none"/>
        </w:rPr>
        <w:t>每年检测高效过滤器。.以上过滤器发现污染和堵塞及时更换每年提供第三方检测报告，</w:t>
      </w:r>
      <w:r>
        <w:rPr>
          <w:rFonts w:hint="eastAsia" w:ascii="宋体" w:hAnsi="宋体" w:cs="宋体"/>
          <w:color w:val="auto"/>
          <w:sz w:val="24"/>
          <w:szCs w:val="24"/>
          <w:highlight w:val="none"/>
        </w:rPr>
        <w:t>过滤器耗材费、人工费及检测费用</w:t>
      </w:r>
      <w:r>
        <w:rPr>
          <w:rFonts w:hint="eastAsia"/>
          <w:color w:val="auto"/>
          <w:szCs w:val="22"/>
          <w:highlight w:val="none"/>
        </w:rPr>
        <w:t>由中标单位承担，更换的过滤器品牌需与原投标品牌一致；</w:t>
      </w:r>
    </w:p>
    <w:p>
      <w:pPr>
        <w:pStyle w:val="75"/>
        <w:widowControl/>
        <w:snapToGrid w:val="0"/>
        <w:spacing w:line="360" w:lineRule="auto"/>
        <w:ind w:firstLine="630" w:firstLineChars="300"/>
        <w:rPr>
          <w:color w:val="auto"/>
          <w:szCs w:val="22"/>
          <w:highlight w:val="none"/>
        </w:rPr>
      </w:pPr>
      <w:r>
        <w:rPr>
          <w:rFonts w:hint="eastAsia"/>
          <w:color w:val="auto"/>
          <w:szCs w:val="22"/>
          <w:highlight w:val="none"/>
        </w:rPr>
        <w:t>（2）每个月定期清洁机组及机房，保持机组外部及机房的干净整洁；</w:t>
      </w:r>
    </w:p>
    <w:p>
      <w:pPr>
        <w:pStyle w:val="75"/>
        <w:widowControl/>
        <w:snapToGrid w:val="0"/>
        <w:spacing w:line="360" w:lineRule="auto"/>
        <w:ind w:firstLine="630" w:firstLineChars="300"/>
        <w:rPr>
          <w:color w:val="auto"/>
          <w:szCs w:val="22"/>
          <w:highlight w:val="none"/>
        </w:rPr>
      </w:pPr>
      <w:r>
        <w:rPr>
          <w:rFonts w:hint="eastAsia"/>
          <w:color w:val="auto"/>
          <w:szCs w:val="22"/>
          <w:highlight w:val="none"/>
        </w:rPr>
        <w:t>（3） 保持层流系统正常工作，确保12小时内排除故障。</w:t>
      </w:r>
    </w:p>
    <w:p>
      <w:pPr>
        <w:pStyle w:val="75"/>
        <w:widowControl/>
        <w:snapToGrid w:val="0"/>
        <w:spacing w:line="360" w:lineRule="auto"/>
        <w:ind w:firstLine="630" w:firstLineChars="300"/>
        <w:rPr>
          <w:color w:val="auto"/>
          <w:szCs w:val="22"/>
          <w:highlight w:val="none"/>
        </w:rPr>
      </w:pPr>
      <w:r>
        <w:rPr>
          <w:rFonts w:hint="eastAsia"/>
          <w:color w:val="auto"/>
          <w:szCs w:val="22"/>
          <w:highlight w:val="none"/>
        </w:rPr>
        <w:t>以上所有工作需符合医院空气净化管理规范（WS/T 368-2012 ），并根据要求及时调整更换及维保周期。</w:t>
      </w:r>
    </w:p>
    <w:p>
      <w:pPr>
        <w:pStyle w:val="3"/>
        <w:rPr>
          <w:color w:val="auto"/>
          <w:highlight w:val="none"/>
        </w:rPr>
      </w:pPr>
    </w:p>
    <w:p>
      <w:pPr>
        <w:pStyle w:val="6"/>
        <w:spacing w:line="30" w:lineRule="atLeast"/>
        <w:rPr>
          <w:color w:val="auto"/>
          <w:highlight w:val="none"/>
        </w:rPr>
      </w:pPr>
      <w:r>
        <w:rPr>
          <w:rFonts w:hint="eastAsia"/>
          <w:color w:val="auto"/>
          <w:sz w:val="28"/>
          <w:szCs w:val="28"/>
          <w:highlight w:val="none"/>
        </w:rPr>
        <w:t>第五节 主要设备材料品牌推荐表</w:t>
      </w:r>
    </w:p>
    <w:p>
      <w:pPr>
        <w:pStyle w:val="7"/>
        <w:spacing w:line="30" w:lineRule="atLeast"/>
        <w:ind w:firstLine="422"/>
        <w:rPr>
          <w:strike/>
          <w:color w:val="auto"/>
          <w:highlight w:val="none"/>
        </w:rPr>
      </w:pPr>
    </w:p>
    <w:tbl>
      <w:tblPr>
        <w:tblStyle w:val="27"/>
        <w:tblW w:w="8344" w:type="dxa"/>
        <w:tblInd w:w="10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00"/>
        <w:gridCol w:w="2914"/>
        <w:gridCol w:w="41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130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auto"/>
                <w:szCs w:val="21"/>
                <w:highlight w:val="none"/>
              </w:rPr>
            </w:pPr>
            <w:r>
              <w:rPr>
                <w:rFonts w:hint="eastAsia" w:ascii="宋体" w:hAnsi="宋体" w:cs="宋体"/>
                <w:color w:val="auto"/>
                <w:szCs w:val="21"/>
                <w:highlight w:val="none"/>
              </w:rPr>
              <w:t>序号</w:t>
            </w:r>
          </w:p>
        </w:tc>
        <w:tc>
          <w:tcPr>
            <w:tcW w:w="2914"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auto"/>
                <w:szCs w:val="21"/>
                <w:highlight w:val="none"/>
              </w:rPr>
            </w:pPr>
            <w:r>
              <w:rPr>
                <w:rFonts w:hint="eastAsia" w:ascii="宋体" w:hAnsi="宋体" w:cs="宋体"/>
                <w:color w:val="auto"/>
                <w:szCs w:val="21"/>
                <w:highlight w:val="none"/>
              </w:rPr>
              <w:t>设备、材料名称</w:t>
            </w:r>
          </w:p>
        </w:tc>
        <w:tc>
          <w:tcPr>
            <w:tcW w:w="413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auto"/>
                <w:szCs w:val="21"/>
                <w:highlight w:val="none"/>
              </w:rPr>
            </w:pPr>
            <w:r>
              <w:rPr>
                <w:rFonts w:hint="eastAsia" w:ascii="宋体" w:hAnsi="宋体" w:cs="宋体"/>
                <w:color w:val="auto"/>
                <w:szCs w:val="21"/>
                <w:highlight w:val="none"/>
              </w:rPr>
              <w:t>推荐品牌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4214"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宋体"/>
                <w:color w:val="auto"/>
                <w:szCs w:val="21"/>
                <w:highlight w:val="none"/>
              </w:rPr>
            </w:pPr>
            <w:r>
              <w:rPr>
                <w:rFonts w:hint="eastAsia" w:ascii="宋体" w:hAnsi="宋体" w:cs="宋体"/>
                <w:color w:val="auto"/>
                <w:szCs w:val="21"/>
                <w:highlight w:val="none"/>
              </w:rPr>
              <w:t>一、装饰部分</w:t>
            </w:r>
          </w:p>
        </w:tc>
        <w:tc>
          <w:tcPr>
            <w:tcW w:w="4130"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130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auto"/>
                <w:szCs w:val="21"/>
                <w:highlight w:val="none"/>
              </w:rPr>
            </w:pPr>
            <w:r>
              <w:rPr>
                <w:rFonts w:hint="eastAsia" w:ascii="宋体" w:hAnsi="宋体" w:cs="宋体"/>
                <w:color w:val="auto"/>
                <w:szCs w:val="21"/>
                <w:highlight w:val="none"/>
              </w:rPr>
              <w:t>1.</w:t>
            </w:r>
          </w:p>
        </w:tc>
        <w:tc>
          <w:tcPr>
            <w:tcW w:w="2914"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auto"/>
                <w:szCs w:val="21"/>
                <w:highlight w:val="none"/>
              </w:rPr>
            </w:pPr>
            <w:r>
              <w:rPr>
                <w:rFonts w:hint="eastAsia" w:ascii="宋体" w:hAnsi="宋体" w:cs="宋体"/>
                <w:color w:val="auto"/>
                <w:szCs w:val="21"/>
                <w:highlight w:val="none"/>
              </w:rPr>
              <w:t>PVC卷材</w:t>
            </w:r>
          </w:p>
        </w:tc>
        <w:tc>
          <w:tcPr>
            <w:tcW w:w="4130"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宋体"/>
                <w:color w:val="auto"/>
                <w:szCs w:val="21"/>
                <w:highlight w:val="none"/>
              </w:rPr>
            </w:pPr>
            <w:r>
              <w:rPr>
                <w:rFonts w:hint="eastAsia" w:ascii="宋体" w:hAnsi="宋体" w:cs="宋体"/>
                <w:color w:val="auto"/>
                <w:szCs w:val="21"/>
                <w:highlight w:val="none"/>
              </w:rPr>
              <w:t>洁福、阿姆斯壮、得嘉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130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auto"/>
                <w:szCs w:val="21"/>
                <w:highlight w:val="none"/>
              </w:rPr>
            </w:pPr>
            <w:r>
              <w:rPr>
                <w:rFonts w:hint="eastAsia" w:ascii="宋体" w:hAnsi="宋体" w:cs="宋体"/>
                <w:color w:val="auto"/>
                <w:szCs w:val="21"/>
                <w:highlight w:val="none"/>
              </w:rPr>
              <w:t>2.</w:t>
            </w:r>
          </w:p>
        </w:tc>
        <w:tc>
          <w:tcPr>
            <w:tcW w:w="2914"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auto"/>
                <w:szCs w:val="21"/>
                <w:highlight w:val="none"/>
              </w:rPr>
            </w:pPr>
            <w:r>
              <w:rPr>
                <w:rFonts w:hint="eastAsia" w:ascii="宋体" w:hAnsi="宋体" w:cs="宋体"/>
                <w:color w:val="auto"/>
                <w:szCs w:val="21"/>
                <w:highlight w:val="none"/>
              </w:rPr>
              <w:t>模块化医用电解钢板</w:t>
            </w:r>
          </w:p>
        </w:tc>
        <w:tc>
          <w:tcPr>
            <w:tcW w:w="4130"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宋体"/>
                <w:color w:val="auto"/>
                <w:szCs w:val="21"/>
                <w:highlight w:val="none"/>
              </w:rPr>
            </w:pPr>
            <w:r>
              <w:rPr>
                <w:rFonts w:hint="eastAsia" w:ascii="宋体" w:hAnsi="宋体" w:cs="宋体"/>
                <w:color w:val="auto"/>
                <w:szCs w:val="21"/>
                <w:highlight w:val="none"/>
              </w:rPr>
              <w:t>加工厂：</w:t>
            </w:r>
            <w:r>
              <w:rPr>
                <w:rFonts w:hint="eastAsia" w:ascii="宋体" w:hAnsi="宋体" w:cs="宋体"/>
                <w:color w:val="auto"/>
                <w:sz w:val="21"/>
                <w:szCs w:val="21"/>
                <w:highlight w:val="none"/>
                <w:lang w:bidi="ar"/>
              </w:rPr>
              <w:t>浩东、智迪锐、铭铉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130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auto"/>
                <w:szCs w:val="21"/>
                <w:highlight w:val="none"/>
              </w:rPr>
            </w:pPr>
            <w:r>
              <w:rPr>
                <w:rFonts w:hint="eastAsia" w:ascii="宋体" w:hAnsi="宋体" w:cs="宋体"/>
                <w:color w:val="auto"/>
                <w:szCs w:val="21"/>
                <w:highlight w:val="none"/>
              </w:rPr>
              <w:t>3.</w:t>
            </w:r>
          </w:p>
        </w:tc>
        <w:tc>
          <w:tcPr>
            <w:tcW w:w="2914"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auto"/>
                <w:szCs w:val="21"/>
                <w:highlight w:val="none"/>
              </w:rPr>
            </w:pPr>
            <w:r>
              <w:rPr>
                <w:rFonts w:hint="eastAsia" w:ascii="宋体" w:hAnsi="宋体" w:cs="宋体"/>
                <w:color w:val="auto"/>
                <w:szCs w:val="21"/>
                <w:highlight w:val="none"/>
              </w:rPr>
              <w:t>瓷砖</w:t>
            </w:r>
          </w:p>
        </w:tc>
        <w:tc>
          <w:tcPr>
            <w:tcW w:w="4130"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宋体"/>
                <w:color w:val="auto"/>
                <w:szCs w:val="21"/>
                <w:highlight w:val="none"/>
              </w:rPr>
            </w:pPr>
            <w:r>
              <w:rPr>
                <w:rFonts w:hint="eastAsia" w:ascii="宋体" w:hAnsi="宋体" w:cs="宋体"/>
                <w:color w:val="auto"/>
                <w:szCs w:val="21"/>
                <w:highlight w:val="none"/>
              </w:rPr>
              <w:t>马可波罗、亚细亚、东鹏、蒙娜丽莎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130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auto"/>
                <w:szCs w:val="21"/>
                <w:highlight w:val="none"/>
              </w:rPr>
            </w:pPr>
            <w:r>
              <w:rPr>
                <w:rFonts w:hint="eastAsia" w:ascii="宋体" w:hAnsi="宋体" w:cs="宋体"/>
                <w:color w:val="auto"/>
                <w:szCs w:val="21"/>
                <w:highlight w:val="none"/>
              </w:rPr>
              <w:t>4.</w:t>
            </w:r>
          </w:p>
        </w:tc>
        <w:tc>
          <w:tcPr>
            <w:tcW w:w="2914"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auto"/>
                <w:szCs w:val="21"/>
                <w:highlight w:val="none"/>
              </w:rPr>
            </w:pPr>
            <w:r>
              <w:rPr>
                <w:rFonts w:hint="eastAsia" w:ascii="宋体" w:hAnsi="宋体" w:cs="宋体"/>
                <w:color w:val="auto"/>
                <w:szCs w:val="21"/>
                <w:highlight w:val="none"/>
              </w:rPr>
              <w:t>铝扣板</w:t>
            </w:r>
          </w:p>
        </w:tc>
        <w:tc>
          <w:tcPr>
            <w:tcW w:w="4130"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宋体"/>
                <w:color w:val="auto"/>
                <w:szCs w:val="21"/>
                <w:highlight w:val="none"/>
              </w:rPr>
            </w:pPr>
            <w:r>
              <w:rPr>
                <w:rFonts w:hint="eastAsia" w:ascii="宋体" w:hAnsi="宋体" w:cs="宋体"/>
                <w:color w:val="auto"/>
                <w:szCs w:val="21"/>
                <w:highlight w:val="none"/>
              </w:rPr>
              <w:t>乐思龙、林德纳、阿姆斯壮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130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auto"/>
                <w:szCs w:val="21"/>
                <w:highlight w:val="none"/>
              </w:rPr>
            </w:pPr>
            <w:r>
              <w:rPr>
                <w:rFonts w:hint="eastAsia" w:ascii="宋体" w:hAnsi="宋体" w:cs="宋体"/>
                <w:color w:val="auto"/>
                <w:szCs w:val="21"/>
                <w:highlight w:val="none"/>
              </w:rPr>
              <w:t>5.</w:t>
            </w:r>
          </w:p>
        </w:tc>
        <w:tc>
          <w:tcPr>
            <w:tcW w:w="2914"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auto"/>
                <w:szCs w:val="21"/>
                <w:highlight w:val="none"/>
              </w:rPr>
            </w:pPr>
            <w:r>
              <w:rPr>
                <w:rFonts w:hint="eastAsia" w:ascii="宋体" w:hAnsi="宋体" w:cs="宋体"/>
                <w:color w:val="auto"/>
                <w:szCs w:val="21"/>
                <w:highlight w:val="none"/>
              </w:rPr>
              <w:t>乳胶漆</w:t>
            </w:r>
          </w:p>
        </w:tc>
        <w:tc>
          <w:tcPr>
            <w:tcW w:w="4130"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宋体"/>
                <w:color w:val="auto"/>
                <w:szCs w:val="21"/>
                <w:highlight w:val="none"/>
              </w:rPr>
            </w:pPr>
            <w:r>
              <w:rPr>
                <w:rFonts w:hint="eastAsia" w:ascii="宋体" w:hAnsi="宋体" w:cs="宋体"/>
                <w:color w:val="auto"/>
                <w:szCs w:val="21"/>
                <w:highlight w:val="none"/>
              </w:rPr>
              <w:t>华润、立邦、多乐士</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130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auto"/>
                <w:szCs w:val="21"/>
                <w:highlight w:val="none"/>
              </w:rPr>
            </w:pPr>
            <w:r>
              <w:rPr>
                <w:rFonts w:hint="eastAsia" w:ascii="宋体" w:hAnsi="宋体" w:cs="宋体"/>
                <w:color w:val="auto"/>
                <w:szCs w:val="21"/>
                <w:highlight w:val="none"/>
              </w:rPr>
              <w:t>6.</w:t>
            </w:r>
          </w:p>
        </w:tc>
        <w:tc>
          <w:tcPr>
            <w:tcW w:w="2914"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auto"/>
                <w:szCs w:val="21"/>
                <w:highlight w:val="none"/>
              </w:rPr>
            </w:pPr>
            <w:r>
              <w:rPr>
                <w:rFonts w:hint="eastAsia" w:ascii="宋体" w:hAnsi="宋体" w:cs="宋体"/>
                <w:color w:val="auto"/>
                <w:szCs w:val="21"/>
                <w:highlight w:val="none"/>
              </w:rPr>
              <w:t>麻醉柜、器械柜、药品柜</w:t>
            </w:r>
          </w:p>
        </w:tc>
        <w:tc>
          <w:tcPr>
            <w:tcW w:w="4130"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宋体"/>
                <w:color w:val="auto"/>
                <w:szCs w:val="21"/>
                <w:highlight w:val="none"/>
              </w:rPr>
            </w:pPr>
            <w:r>
              <w:rPr>
                <w:rFonts w:hint="eastAsia" w:ascii="宋体" w:hAnsi="宋体" w:cs="宋体"/>
                <w:color w:val="auto"/>
                <w:szCs w:val="21"/>
                <w:highlight w:val="none"/>
              </w:rPr>
              <w:t>铭铉、智迪锐、浩东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1300" w:type="dxa"/>
            <w:tcBorders>
              <w:top w:val="single" w:color="auto" w:sz="4" w:space="0"/>
              <w:left w:val="single" w:color="auto" w:sz="4" w:space="0"/>
              <w:bottom w:val="single" w:color="auto" w:sz="4" w:space="0"/>
              <w:right w:val="single" w:color="auto" w:sz="4" w:space="0"/>
            </w:tcBorders>
            <w:vAlign w:val="center"/>
          </w:tcPr>
          <w:p>
            <w:pPr>
              <w:jc w:val="center"/>
              <w:rPr>
                <w:color w:val="auto"/>
                <w:highlight w:val="none"/>
              </w:rPr>
            </w:pPr>
            <w:r>
              <w:rPr>
                <w:rFonts w:hint="eastAsia" w:ascii="宋体" w:hAnsi="宋体" w:cs="宋体"/>
                <w:color w:val="auto"/>
                <w:szCs w:val="21"/>
                <w:highlight w:val="none"/>
              </w:rPr>
              <w:t>7</w:t>
            </w:r>
            <w:r>
              <w:rPr>
                <w:rFonts w:ascii="宋体" w:hAnsi="宋体" w:cs="宋体"/>
                <w:color w:val="auto"/>
                <w:szCs w:val="21"/>
                <w:highlight w:val="none"/>
              </w:rPr>
              <w:t>.</w:t>
            </w:r>
          </w:p>
        </w:tc>
        <w:tc>
          <w:tcPr>
            <w:tcW w:w="2914" w:type="dxa"/>
            <w:tcBorders>
              <w:top w:val="single" w:color="auto" w:sz="4" w:space="0"/>
              <w:left w:val="single" w:color="auto" w:sz="4" w:space="0"/>
              <w:bottom w:val="single" w:color="auto" w:sz="4" w:space="0"/>
              <w:right w:val="single" w:color="auto" w:sz="4" w:space="0"/>
            </w:tcBorders>
            <w:vAlign w:val="center"/>
          </w:tcPr>
          <w:p>
            <w:pPr>
              <w:rPr>
                <w:color w:val="auto"/>
                <w:highlight w:val="none"/>
              </w:rPr>
            </w:pPr>
            <w:r>
              <w:rPr>
                <w:rFonts w:hint="eastAsia"/>
                <w:color w:val="auto"/>
                <w:highlight w:val="none"/>
              </w:rPr>
              <w:t>洁菌医疗板</w:t>
            </w:r>
          </w:p>
        </w:tc>
        <w:tc>
          <w:tcPr>
            <w:tcW w:w="4130" w:type="dxa"/>
            <w:tcBorders>
              <w:top w:val="single" w:color="auto" w:sz="4" w:space="0"/>
              <w:left w:val="single" w:color="auto" w:sz="4" w:space="0"/>
              <w:bottom w:val="single" w:color="auto" w:sz="4" w:space="0"/>
              <w:right w:val="single" w:color="auto" w:sz="4" w:space="0"/>
            </w:tcBorders>
            <w:vAlign w:val="center"/>
          </w:tcPr>
          <w:p>
            <w:pPr>
              <w:rPr>
                <w:color w:val="auto"/>
                <w:highlight w:val="none"/>
              </w:rPr>
            </w:pPr>
            <w:r>
              <w:rPr>
                <w:rFonts w:hint="eastAsia"/>
                <w:color w:val="auto"/>
                <w:highlight w:val="none"/>
              </w:rPr>
              <w:t>富美家、森旺、威盛亚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130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auto"/>
                <w:szCs w:val="21"/>
                <w:highlight w:val="none"/>
              </w:rPr>
            </w:pPr>
            <w:r>
              <w:rPr>
                <w:rFonts w:hint="eastAsia" w:ascii="宋体" w:hAnsi="宋体" w:cs="宋体"/>
                <w:color w:val="auto"/>
                <w:szCs w:val="21"/>
                <w:highlight w:val="none"/>
              </w:rPr>
              <w:t>8.</w:t>
            </w:r>
          </w:p>
        </w:tc>
        <w:tc>
          <w:tcPr>
            <w:tcW w:w="2914"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auto"/>
                <w:szCs w:val="21"/>
                <w:highlight w:val="none"/>
              </w:rPr>
            </w:pPr>
            <w:r>
              <w:rPr>
                <w:rFonts w:hint="eastAsia" w:ascii="宋体" w:hAnsi="宋体" w:cs="宋体"/>
                <w:color w:val="auto"/>
                <w:szCs w:val="21"/>
                <w:highlight w:val="none"/>
              </w:rPr>
              <w:t>自动门电动装置</w:t>
            </w:r>
          </w:p>
        </w:tc>
        <w:tc>
          <w:tcPr>
            <w:tcW w:w="4130"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宋体"/>
                <w:color w:val="auto"/>
                <w:szCs w:val="21"/>
                <w:highlight w:val="none"/>
              </w:rPr>
            </w:pPr>
            <w:r>
              <w:rPr>
                <w:rFonts w:hint="eastAsia" w:ascii="宋体" w:hAnsi="宋体" w:cs="宋体"/>
                <w:color w:val="auto"/>
                <w:szCs w:val="21"/>
                <w:highlight w:val="none"/>
              </w:rPr>
              <w:t>松下、欧尼克、纳博克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130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auto"/>
                <w:szCs w:val="21"/>
                <w:highlight w:val="none"/>
              </w:rPr>
            </w:pPr>
            <w:r>
              <w:rPr>
                <w:rFonts w:hint="eastAsia" w:ascii="宋体" w:hAnsi="宋体" w:cs="宋体"/>
                <w:color w:val="auto"/>
                <w:szCs w:val="21"/>
                <w:highlight w:val="none"/>
              </w:rPr>
              <w:t>9.</w:t>
            </w:r>
          </w:p>
        </w:tc>
        <w:tc>
          <w:tcPr>
            <w:tcW w:w="2914"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auto"/>
                <w:szCs w:val="21"/>
                <w:highlight w:val="none"/>
              </w:rPr>
            </w:pPr>
            <w:r>
              <w:rPr>
                <w:rFonts w:hint="eastAsia" w:ascii="宋体" w:hAnsi="宋体" w:cs="宋体"/>
                <w:color w:val="auto"/>
                <w:szCs w:val="21"/>
                <w:highlight w:val="none"/>
              </w:rPr>
              <w:t>刷手池</w:t>
            </w:r>
          </w:p>
        </w:tc>
        <w:tc>
          <w:tcPr>
            <w:tcW w:w="4130"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宋体"/>
                <w:color w:val="auto"/>
                <w:szCs w:val="21"/>
                <w:highlight w:val="none"/>
              </w:rPr>
            </w:pPr>
            <w:r>
              <w:rPr>
                <w:rFonts w:hint="eastAsia" w:ascii="宋体" w:hAnsi="宋体" w:cs="宋体"/>
                <w:color w:val="auto"/>
                <w:szCs w:val="21"/>
                <w:highlight w:val="none"/>
              </w:rPr>
              <w:t>铭炫、浩东、智迪锐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130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auto"/>
                <w:szCs w:val="21"/>
                <w:highlight w:val="none"/>
              </w:rPr>
            </w:pPr>
            <w:r>
              <w:rPr>
                <w:rFonts w:hint="eastAsia" w:ascii="宋体" w:hAnsi="宋体" w:cs="宋体"/>
                <w:color w:val="auto"/>
                <w:szCs w:val="21"/>
                <w:highlight w:val="none"/>
              </w:rPr>
              <w:t>10.</w:t>
            </w:r>
          </w:p>
        </w:tc>
        <w:tc>
          <w:tcPr>
            <w:tcW w:w="2914"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auto"/>
                <w:szCs w:val="21"/>
                <w:highlight w:val="none"/>
              </w:rPr>
            </w:pPr>
            <w:r>
              <w:rPr>
                <w:rFonts w:hint="eastAsia" w:ascii="宋体" w:hAnsi="宋体" w:cs="宋体"/>
                <w:color w:val="auto"/>
                <w:szCs w:val="21"/>
                <w:highlight w:val="none"/>
              </w:rPr>
              <w:t>气密门</w:t>
            </w:r>
          </w:p>
        </w:tc>
        <w:tc>
          <w:tcPr>
            <w:tcW w:w="4130"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宋体"/>
                <w:color w:val="auto"/>
                <w:szCs w:val="21"/>
                <w:highlight w:val="none"/>
              </w:rPr>
            </w:pPr>
            <w:r>
              <w:rPr>
                <w:rFonts w:hint="eastAsia" w:ascii="宋体" w:hAnsi="宋体" w:cs="宋体"/>
                <w:color w:val="auto"/>
                <w:szCs w:val="21"/>
                <w:highlight w:val="none"/>
              </w:rPr>
              <w:t>欧尼克、格满林、德科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130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auto"/>
                <w:szCs w:val="21"/>
                <w:highlight w:val="none"/>
              </w:rPr>
            </w:pPr>
            <w:r>
              <w:rPr>
                <w:rFonts w:hint="eastAsia" w:ascii="宋体" w:hAnsi="宋体" w:cs="宋体"/>
                <w:color w:val="auto"/>
                <w:szCs w:val="21"/>
                <w:highlight w:val="none"/>
              </w:rPr>
              <w:t>11.</w:t>
            </w:r>
          </w:p>
        </w:tc>
        <w:tc>
          <w:tcPr>
            <w:tcW w:w="2914"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auto"/>
                <w:szCs w:val="21"/>
                <w:highlight w:val="none"/>
              </w:rPr>
            </w:pPr>
            <w:r>
              <w:rPr>
                <w:rFonts w:hint="eastAsia" w:ascii="宋体" w:hAnsi="宋体" w:cs="宋体"/>
                <w:color w:val="auto"/>
                <w:szCs w:val="21"/>
                <w:highlight w:val="none"/>
              </w:rPr>
              <w:t>钢制平开门</w:t>
            </w:r>
          </w:p>
        </w:tc>
        <w:tc>
          <w:tcPr>
            <w:tcW w:w="4130"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宋体"/>
                <w:color w:val="auto"/>
                <w:szCs w:val="21"/>
                <w:highlight w:val="none"/>
              </w:rPr>
            </w:pPr>
            <w:r>
              <w:rPr>
                <w:rFonts w:hint="eastAsia" w:ascii="宋体" w:hAnsi="宋体" w:cs="宋体"/>
                <w:color w:val="auto"/>
                <w:szCs w:val="21"/>
                <w:highlight w:val="none"/>
              </w:rPr>
              <w:t>欧尼克、格满林、德科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130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auto"/>
                <w:szCs w:val="21"/>
                <w:highlight w:val="none"/>
              </w:rPr>
            </w:pPr>
            <w:r>
              <w:rPr>
                <w:rFonts w:hint="eastAsia" w:ascii="宋体" w:hAnsi="宋体" w:cs="宋体"/>
                <w:color w:val="auto"/>
                <w:szCs w:val="21"/>
                <w:highlight w:val="none"/>
              </w:rPr>
              <w:t>12.</w:t>
            </w:r>
          </w:p>
        </w:tc>
        <w:tc>
          <w:tcPr>
            <w:tcW w:w="2914"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auto"/>
                <w:szCs w:val="21"/>
                <w:highlight w:val="none"/>
              </w:rPr>
            </w:pPr>
            <w:r>
              <w:rPr>
                <w:rFonts w:hint="eastAsia" w:ascii="宋体" w:hAnsi="宋体" w:cs="宋体"/>
                <w:color w:val="auto"/>
                <w:szCs w:val="21"/>
                <w:highlight w:val="none"/>
              </w:rPr>
              <w:t>保冷柜、保温柜</w:t>
            </w:r>
          </w:p>
        </w:tc>
        <w:tc>
          <w:tcPr>
            <w:tcW w:w="4130"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宋体"/>
                <w:color w:val="auto"/>
                <w:szCs w:val="21"/>
                <w:highlight w:val="none"/>
              </w:rPr>
            </w:pPr>
            <w:r>
              <w:rPr>
                <w:rFonts w:hint="eastAsia" w:ascii="宋体" w:hAnsi="宋体" w:cs="宋体"/>
                <w:color w:val="auto"/>
                <w:szCs w:val="21"/>
                <w:highlight w:val="none"/>
              </w:rPr>
              <w:t>福意联、松下、海尔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130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auto"/>
                <w:szCs w:val="21"/>
                <w:highlight w:val="none"/>
              </w:rPr>
            </w:pPr>
            <w:r>
              <w:rPr>
                <w:rFonts w:hint="eastAsia" w:ascii="宋体" w:hAnsi="宋体" w:cs="宋体"/>
                <w:color w:val="auto"/>
                <w:szCs w:val="21"/>
                <w:highlight w:val="none"/>
              </w:rPr>
              <w:t>13.</w:t>
            </w:r>
          </w:p>
        </w:tc>
        <w:tc>
          <w:tcPr>
            <w:tcW w:w="2914"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auto"/>
                <w:szCs w:val="21"/>
                <w:highlight w:val="none"/>
              </w:rPr>
            </w:pPr>
            <w:r>
              <w:rPr>
                <w:rFonts w:hint="eastAsia"/>
                <w:color w:val="auto"/>
                <w:highlight w:val="none"/>
              </w:rPr>
              <w:t>供应室不锈钢制品</w:t>
            </w:r>
          </w:p>
        </w:tc>
        <w:tc>
          <w:tcPr>
            <w:tcW w:w="4130"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宋体"/>
                <w:color w:val="auto"/>
                <w:szCs w:val="21"/>
                <w:highlight w:val="none"/>
              </w:rPr>
            </w:pPr>
            <w:r>
              <w:rPr>
                <w:rFonts w:hint="eastAsia"/>
                <w:color w:val="auto"/>
                <w:highlight w:val="none"/>
              </w:rPr>
              <w:t>国产优质(样品需由业主确认)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4214"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宋体"/>
                <w:color w:val="auto"/>
                <w:szCs w:val="21"/>
                <w:highlight w:val="none"/>
              </w:rPr>
            </w:pPr>
            <w:r>
              <w:rPr>
                <w:rFonts w:hint="eastAsia" w:ascii="宋体" w:hAnsi="宋体" w:cs="宋体"/>
                <w:color w:val="auto"/>
                <w:szCs w:val="21"/>
                <w:highlight w:val="none"/>
              </w:rPr>
              <w:t>二、电气部分</w:t>
            </w:r>
          </w:p>
        </w:tc>
        <w:tc>
          <w:tcPr>
            <w:tcW w:w="4130"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130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auto"/>
                <w:szCs w:val="21"/>
                <w:highlight w:val="none"/>
              </w:rPr>
            </w:pPr>
            <w:r>
              <w:rPr>
                <w:rFonts w:hint="eastAsia" w:ascii="宋体" w:hAnsi="宋体" w:cs="宋体"/>
                <w:color w:val="auto"/>
                <w:szCs w:val="21"/>
                <w:highlight w:val="none"/>
              </w:rPr>
              <w:t>14.</w:t>
            </w:r>
          </w:p>
        </w:tc>
        <w:tc>
          <w:tcPr>
            <w:tcW w:w="2914"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auto"/>
                <w:szCs w:val="21"/>
                <w:highlight w:val="none"/>
              </w:rPr>
            </w:pPr>
            <w:r>
              <w:rPr>
                <w:rFonts w:hint="eastAsia" w:ascii="宋体" w:hAnsi="宋体" w:cs="宋体"/>
                <w:color w:val="auto"/>
                <w:szCs w:val="21"/>
                <w:highlight w:val="none"/>
              </w:rPr>
              <w:t>电线、电缆</w:t>
            </w:r>
          </w:p>
        </w:tc>
        <w:tc>
          <w:tcPr>
            <w:tcW w:w="4130"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宋体"/>
                <w:color w:val="auto"/>
                <w:szCs w:val="21"/>
                <w:highlight w:val="none"/>
              </w:rPr>
            </w:pPr>
            <w:r>
              <w:rPr>
                <w:rFonts w:hint="eastAsia" w:ascii="宋体" w:hAnsi="宋体" w:cs="宋体"/>
                <w:color w:val="auto"/>
                <w:szCs w:val="21"/>
                <w:highlight w:val="none"/>
              </w:rPr>
              <w:t>上上、特变、远东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30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auto"/>
                <w:szCs w:val="21"/>
                <w:highlight w:val="none"/>
              </w:rPr>
            </w:pPr>
            <w:r>
              <w:rPr>
                <w:rFonts w:hint="eastAsia" w:ascii="宋体" w:hAnsi="宋体" w:cs="宋体"/>
                <w:color w:val="auto"/>
                <w:szCs w:val="21"/>
                <w:highlight w:val="none"/>
              </w:rPr>
              <w:t>15.</w:t>
            </w:r>
          </w:p>
        </w:tc>
        <w:tc>
          <w:tcPr>
            <w:tcW w:w="2914"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auto"/>
                <w:szCs w:val="21"/>
                <w:highlight w:val="none"/>
              </w:rPr>
            </w:pPr>
            <w:r>
              <w:rPr>
                <w:rFonts w:hint="eastAsia" w:ascii="宋体" w:hAnsi="宋体" w:cs="宋体"/>
                <w:color w:val="auto"/>
                <w:szCs w:val="21"/>
                <w:highlight w:val="none"/>
              </w:rPr>
              <w:t>网线</w:t>
            </w:r>
          </w:p>
        </w:tc>
        <w:tc>
          <w:tcPr>
            <w:tcW w:w="4130"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宋体"/>
                <w:color w:val="auto"/>
                <w:szCs w:val="21"/>
                <w:highlight w:val="none"/>
              </w:rPr>
            </w:pPr>
            <w:r>
              <w:rPr>
                <w:rFonts w:hint="eastAsia" w:ascii="宋体" w:hAnsi="宋体" w:cs="宋体"/>
                <w:color w:val="auto"/>
                <w:szCs w:val="21"/>
                <w:highlight w:val="none"/>
              </w:rPr>
              <w:t>美国西蒙、康普、泛达、罗格朗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130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auto"/>
                <w:szCs w:val="21"/>
                <w:highlight w:val="none"/>
              </w:rPr>
            </w:pPr>
            <w:r>
              <w:rPr>
                <w:rFonts w:hint="eastAsia" w:ascii="宋体" w:hAnsi="宋体" w:cs="宋体"/>
                <w:color w:val="auto"/>
                <w:szCs w:val="21"/>
                <w:highlight w:val="none"/>
              </w:rPr>
              <w:t>16.</w:t>
            </w:r>
          </w:p>
        </w:tc>
        <w:tc>
          <w:tcPr>
            <w:tcW w:w="2914"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auto"/>
                <w:szCs w:val="21"/>
                <w:highlight w:val="none"/>
              </w:rPr>
            </w:pPr>
            <w:r>
              <w:rPr>
                <w:rFonts w:hint="eastAsia" w:ascii="宋体" w:hAnsi="宋体" w:cs="宋体"/>
                <w:color w:val="auto"/>
                <w:szCs w:val="21"/>
                <w:highlight w:val="none"/>
              </w:rPr>
              <w:t>配电箱柜电器元件</w:t>
            </w:r>
          </w:p>
        </w:tc>
        <w:tc>
          <w:tcPr>
            <w:tcW w:w="4130"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宋体"/>
                <w:color w:val="auto"/>
                <w:szCs w:val="21"/>
                <w:highlight w:val="none"/>
              </w:rPr>
            </w:pPr>
            <w:r>
              <w:rPr>
                <w:rFonts w:hint="eastAsia" w:ascii="宋体" w:hAnsi="宋体" w:cs="宋体"/>
                <w:color w:val="auto"/>
                <w:szCs w:val="21"/>
                <w:highlight w:val="none"/>
              </w:rPr>
              <w:t>施耐德、西门子、ABB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130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auto"/>
                <w:szCs w:val="21"/>
                <w:highlight w:val="none"/>
              </w:rPr>
            </w:pPr>
            <w:r>
              <w:rPr>
                <w:rFonts w:hint="eastAsia" w:ascii="宋体" w:hAnsi="宋体" w:cs="宋体"/>
                <w:color w:val="auto"/>
                <w:szCs w:val="21"/>
                <w:highlight w:val="none"/>
              </w:rPr>
              <w:t>17.</w:t>
            </w:r>
          </w:p>
        </w:tc>
        <w:tc>
          <w:tcPr>
            <w:tcW w:w="2914"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auto"/>
                <w:szCs w:val="21"/>
                <w:highlight w:val="none"/>
              </w:rPr>
            </w:pPr>
            <w:r>
              <w:rPr>
                <w:rFonts w:hint="eastAsia" w:ascii="宋体" w:hAnsi="宋体" w:cs="宋体"/>
                <w:color w:val="auto"/>
                <w:szCs w:val="21"/>
                <w:highlight w:val="none"/>
              </w:rPr>
              <w:t>隔离变压器</w:t>
            </w:r>
          </w:p>
        </w:tc>
        <w:tc>
          <w:tcPr>
            <w:tcW w:w="4130"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宋体"/>
                <w:color w:val="auto"/>
                <w:szCs w:val="21"/>
                <w:highlight w:val="none"/>
              </w:rPr>
            </w:pPr>
            <w:r>
              <w:rPr>
                <w:rFonts w:hint="eastAsia" w:ascii="宋体" w:hAnsi="宋体" w:cs="宋体"/>
                <w:color w:val="auto"/>
                <w:szCs w:val="21"/>
                <w:highlight w:val="none"/>
              </w:rPr>
              <w:t>本德尔、ABB、施耐德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130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auto"/>
                <w:szCs w:val="21"/>
                <w:highlight w:val="none"/>
              </w:rPr>
            </w:pPr>
            <w:r>
              <w:rPr>
                <w:rFonts w:hint="eastAsia" w:ascii="宋体" w:hAnsi="宋体" w:cs="宋体"/>
                <w:color w:val="auto"/>
                <w:szCs w:val="21"/>
                <w:highlight w:val="none"/>
              </w:rPr>
              <w:t>18.</w:t>
            </w:r>
          </w:p>
        </w:tc>
        <w:tc>
          <w:tcPr>
            <w:tcW w:w="2914"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auto"/>
                <w:szCs w:val="21"/>
                <w:highlight w:val="none"/>
              </w:rPr>
            </w:pPr>
            <w:r>
              <w:rPr>
                <w:rFonts w:hint="eastAsia" w:ascii="宋体" w:hAnsi="宋体" w:cs="宋体"/>
                <w:color w:val="auto"/>
                <w:szCs w:val="21"/>
                <w:highlight w:val="none"/>
              </w:rPr>
              <w:t>UPS</w:t>
            </w:r>
          </w:p>
        </w:tc>
        <w:tc>
          <w:tcPr>
            <w:tcW w:w="4130"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宋体"/>
                <w:color w:val="auto"/>
                <w:szCs w:val="21"/>
                <w:highlight w:val="none"/>
              </w:rPr>
            </w:pPr>
            <w:r>
              <w:rPr>
                <w:rFonts w:hint="eastAsia" w:ascii="宋体" w:hAnsi="宋体" w:cs="宋体"/>
                <w:color w:val="auto"/>
                <w:szCs w:val="21"/>
                <w:highlight w:val="none"/>
              </w:rPr>
              <w:t>易事特、施耐德、艾默生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130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auto"/>
                <w:szCs w:val="21"/>
                <w:highlight w:val="none"/>
              </w:rPr>
            </w:pPr>
            <w:r>
              <w:rPr>
                <w:rFonts w:hint="eastAsia" w:ascii="宋体" w:hAnsi="宋体" w:cs="宋体"/>
                <w:color w:val="auto"/>
                <w:szCs w:val="21"/>
                <w:highlight w:val="none"/>
              </w:rPr>
              <w:t>19.</w:t>
            </w:r>
          </w:p>
        </w:tc>
        <w:tc>
          <w:tcPr>
            <w:tcW w:w="2914"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auto"/>
                <w:szCs w:val="21"/>
                <w:highlight w:val="none"/>
              </w:rPr>
            </w:pPr>
            <w:r>
              <w:rPr>
                <w:rFonts w:hint="eastAsia" w:ascii="宋体" w:hAnsi="宋体" w:cs="宋体"/>
                <w:color w:val="auto"/>
                <w:szCs w:val="21"/>
                <w:highlight w:val="none"/>
              </w:rPr>
              <w:t>开关、插座</w:t>
            </w:r>
          </w:p>
        </w:tc>
        <w:tc>
          <w:tcPr>
            <w:tcW w:w="4130"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宋体"/>
                <w:color w:val="auto"/>
                <w:szCs w:val="21"/>
                <w:highlight w:val="none"/>
              </w:rPr>
            </w:pPr>
            <w:r>
              <w:rPr>
                <w:rFonts w:hint="eastAsia" w:ascii="宋体" w:hAnsi="宋体" w:cs="宋体"/>
                <w:color w:val="auto"/>
                <w:szCs w:val="21"/>
                <w:highlight w:val="none"/>
              </w:rPr>
              <w:t>TCL、罗格朗、公牛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130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auto"/>
                <w:szCs w:val="21"/>
                <w:highlight w:val="none"/>
              </w:rPr>
            </w:pPr>
            <w:r>
              <w:rPr>
                <w:rFonts w:hint="eastAsia" w:ascii="宋体" w:hAnsi="宋体" w:cs="宋体"/>
                <w:color w:val="auto"/>
                <w:szCs w:val="21"/>
                <w:highlight w:val="none"/>
              </w:rPr>
              <w:t>20.</w:t>
            </w:r>
          </w:p>
        </w:tc>
        <w:tc>
          <w:tcPr>
            <w:tcW w:w="2914"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auto"/>
                <w:szCs w:val="21"/>
                <w:highlight w:val="none"/>
              </w:rPr>
            </w:pPr>
            <w:r>
              <w:rPr>
                <w:rFonts w:hint="eastAsia" w:ascii="宋体" w:hAnsi="宋体" w:cs="宋体"/>
                <w:color w:val="auto"/>
                <w:szCs w:val="21"/>
                <w:highlight w:val="none"/>
              </w:rPr>
              <w:t>净化气密灯</w:t>
            </w:r>
          </w:p>
        </w:tc>
        <w:tc>
          <w:tcPr>
            <w:tcW w:w="4130"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宋体"/>
                <w:color w:val="auto"/>
                <w:szCs w:val="21"/>
                <w:highlight w:val="none"/>
              </w:rPr>
            </w:pPr>
            <w:r>
              <w:rPr>
                <w:rFonts w:hint="eastAsia" w:ascii="宋体" w:hAnsi="宋体" w:cs="宋体"/>
                <w:color w:val="auto"/>
                <w:szCs w:val="21"/>
                <w:highlight w:val="none"/>
              </w:rPr>
              <w:t>佛山照明、君硕、云镜、佳静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130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auto"/>
                <w:szCs w:val="21"/>
                <w:highlight w:val="none"/>
              </w:rPr>
            </w:pPr>
            <w:r>
              <w:rPr>
                <w:rFonts w:hint="eastAsia" w:ascii="宋体" w:hAnsi="宋体" w:cs="宋体"/>
                <w:color w:val="auto"/>
                <w:szCs w:val="21"/>
                <w:highlight w:val="none"/>
              </w:rPr>
              <w:t>21.</w:t>
            </w:r>
          </w:p>
        </w:tc>
        <w:tc>
          <w:tcPr>
            <w:tcW w:w="2914"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auto"/>
                <w:szCs w:val="21"/>
                <w:highlight w:val="none"/>
              </w:rPr>
            </w:pPr>
            <w:r>
              <w:rPr>
                <w:rFonts w:hint="eastAsia" w:ascii="宋体" w:hAnsi="宋体" w:cs="宋体"/>
                <w:color w:val="auto"/>
                <w:szCs w:val="21"/>
                <w:highlight w:val="none"/>
              </w:rPr>
              <w:t>手术室数字化系统</w:t>
            </w:r>
          </w:p>
        </w:tc>
        <w:tc>
          <w:tcPr>
            <w:tcW w:w="4130"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宋体"/>
                <w:color w:val="auto"/>
                <w:szCs w:val="21"/>
                <w:highlight w:val="none"/>
              </w:rPr>
            </w:pPr>
            <w:r>
              <w:rPr>
                <w:rFonts w:hint="eastAsia"/>
                <w:color w:val="auto"/>
                <w:highlight w:val="none"/>
              </w:rPr>
              <w:t>STORZ卡尔史托斯、MAQUET迈柯唯、</w:t>
            </w:r>
            <w:r>
              <w:rPr>
                <w:rFonts w:ascii="Arial" w:hAnsi="Arial" w:cs="Arial"/>
                <w:color w:val="auto"/>
                <w:sz w:val="19"/>
                <w:szCs w:val="19"/>
                <w:highlight w:val="none"/>
                <w:shd w:val="clear" w:color="auto" w:fill="FFFFFF"/>
              </w:rPr>
              <w:t>Stryker</w:t>
            </w:r>
            <w:r>
              <w:rPr>
                <w:rFonts w:hint="eastAsia"/>
                <w:color w:val="auto"/>
                <w:highlight w:val="none"/>
              </w:rPr>
              <w:t>史赛克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4214"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宋体"/>
                <w:color w:val="auto"/>
                <w:szCs w:val="21"/>
                <w:highlight w:val="none"/>
              </w:rPr>
            </w:pPr>
            <w:r>
              <w:rPr>
                <w:rFonts w:hint="eastAsia" w:ascii="宋体" w:hAnsi="宋体" w:cs="宋体"/>
                <w:color w:val="auto"/>
                <w:szCs w:val="21"/>
                <w:highlight w:val="none"/>
              </w:rPr>
              <w:t>三、空调</w:t>
            </w:r>
          </w:p>
        </w:tc>
        <w:tc>
          <w:tcPr>
            <w:tcW w:w="4130"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130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auto"/>
                <w:szCs w:val="21"/>
                <w:highlight w:val="none"/>
              </w:rPr>
            </w:pPr>
            <w:r>
              <w:rPr>
                <w:rFonts w:hint="eastAsia" w:ascii="宋体" w:hAnsi="宋体" w:cs="宋体"/>
                <w:color w:val="auto"/>
                <w:szCs w:val="21"/>
                <w:highlight w:val="none"/>
              </w:rPr>
              <w:t>22.</w:t>
            </w:r>
          </w:p>
        </w:tc>
        <w:tc>
          <w:tcPr>
            <w:tcW w:w="2914"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auto"/>
                <w:szCs w:val="21"/>
                <w:highlight w:val="none"/>
              </w:rPr>
            </w:pPr>
            <w:r>
              <w:rPr>
                <w:rFonts w:hint="eastAsia" w:ascii="宋体" w:hAnsi="宋体" w:cs="宋体"/>
                <w:color w:val="auto"/>
                <w:szCs w:val="21"/>
                <w:highlight w:val="none"/>
              </w:rPr>
              <w:t>净化空调机组/新风机组</w:t>
            </w:r>
          </w:p>
        </w:tc>
        <w:tc>
          <w:tcPr>
            <w:tcW w:w="4130"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宋体"/>
                <w:color w:val="auto"/>
                <w:szCs w:val="21"/>
                <w:highlight w:val="none"/>
              </w:rPr>
            </w:pPr>
            <w:r>
              <w:rPr>
                <w:rFonts w:hint="eastAsia" w:ascii="宋体" w:hAnsi="宋体" w:cs="宋体"/>
                <w:color w:val="auto"/>
                <w:szCs w:val="21"/>
                <w:highlight w:val="none"/>
              </w:rPr>
              <w:t>天加、雅士、清华同方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130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auto"/>
                <w:szCs w:val="21"/>
                <w:highlight w:val="none"/>
              </w:rPr>
            </w:pPr>
            <w:r>
              <w:rPr>
                <w:rFonts w:hint="eastAsia" w:ascii="宋体" w:hAnsi="宋体" w:cs="宋体"/>
                <w:color w:val="auto"/>
                <w:szCs w:val="21"/>
                <w:highlight w:val="none"/>
              </w:rPr>
              <w:t>23.</w:t>
            </w:r>
          </w:p>
        </w:tc>
        <w:tc>
          <w:tcPr>
            <w:tcW w:w="2914"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auto"/>
                <w:szCs w:val="21"/>
                <w:highlight w:val="none"/>
              </w:rPr>
            </w:pPr>
            <w:r>
              <w:rPr>
                <w:rFonts w:hint="eastAsia" w:ascii="宋体" w:hAnsi="宋体" w:cs="宋体"/>
                <w:color w:val="auto"/>
                <w:szCs w:val="21"/>
                <w:highlight w:val="none"/>
              </w:rPr>
              <w:t>风冷热泵</w:t>
            </w:r>
          </w:p>
        </w:tc>
        <w:tc>
          <w:tcPr>
            <w:tcW w:w="4130"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宋体"/>
                <w:color w:val="auto"/>
                <w:szCs w:val="21"/>
                <w:highlight w:val="none"/>
              </w:rPr>
            </w:pPr>
            <w:r>
              <w:rPr>
                <w:rFonts w:hint="eastAsia" w:ascii="宋体" w:hAnsi="宋体" w:cs="宋体"/>
                <w:color w:val="auto"/>
                <w:szCs w:val="21"/>
                <w:highlight w:val="none"/>
              </w:rPr>
              <w:t>天加、雅士、清华同方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130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auto"/>
                <w:szCs w:val="21"/>
                <w:highlight w:val="none"/>
              </w:rPr>
            </w:pPr>
            <w:r>
              <w:rPr>
                <w:rFonts w:hint="eastAsia" w:ascii="宋体" w:hAnsi="宋体" w:cs="宋体"/>
                <w:color w:val="auto"/>
                <w:szCs w:val="21"/>
                <w:highlight w:val="none"/>
              </w:rPr>
              <w:t>24.</w:t>
            </w:r>
          </w:p>
        </w:tc>
        <w:tc>
          <w:tcPr>
            <w:tcW w:w="2914"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auto"/>
                <w:szCs w:val="21"/>
                <w:highlight w:val="none"/>
              </w:rPr>
            </w:pPr>
            <w:r>
              <w:rPr>
                <w:rFonts w:hint="eastAsia" w:ascii="宋体" w:hAnsi="宋体" w:cs="宋体"/>
                <w:color w:val="auto"/>
                <w:szCs w:val="21"/>
                <w:highlight w:val="none"/>
              </w:rPr>
              <w:t>风机盘管</w:t>
            </w:r>
          </w:p>
        </w:tc>
        <w:tc>
          <w:tcPr>
            <w:tcW w:w="4130"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宋体"/>
                <w:color w:val="auto"/>
                <w:szCs w:val="21"/>
                <w:highlight w:val="none"/>
              </w:rPr>
            </w:pPr>
            <w:r>
              <w:rPr>
                <w:rFonts w:hint="eastAsia" w:ascii="宋体" w:hAnsi="宋体" w:cs="宋体"/>
                <w:color w:val="auto"/>
                <w:szCs w:val="21"/>
                <w:highlight w:val="none"/>
              </w:rPr>
              <w:t>新晃、格力、天加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130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auto"/>
                <w:szCs w:val="21"/>
                <w:highlight w:val="none"/>
              </w:rPr>
            </w:pPr>
            <w:r>
              <w:rPr>
                <w:rFonts w:hint="eastAsia" w:ascii="宋体" w:hAnsi="宋体" w:cs="宋体"/>
                <w:color w:val="auto"/>
                <w:szCs w:val="21"/>
                <w:highlight w:val="none"/>
              </w:rPr>
              <w:t>25.</w:t>
            </w:r>
          </w:p>
        </w:tc>
        <w:tc>
          <w:tcPr>
            <w:tcW w:w="2914"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auto"/>
                <w:szCs w:val="21"/>
                <w:highlight w:val="none"/>
              </w:rPr>
            </w:pPr>
            <w:r>
              <w:rPr>
                <w:rFonts w:hint="eastAsia" w:ascii="宋体" w:hAnsi="宋体" w:cs="宋体"/>
                <w:color w:val="auto"/>
                <w:szCs w:val="21"/>
                <w:highlight w:val="none"/>
              </w:rPr>
              <w:t>分体机</w:t>
            </w:r>
          </w:p>
        </w:tc>
        <w:tc>
          <w:tcPr>
            <w:tcW w:w="4130"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宋体"/>
                <w:color w:val="auto"/>
                <w:szCs w:val="21"/>
                <w:highlight w:val="none"/>
              </w:rPr>
            </w:pPr>
            <w:r>
              <w:rPr>
                <w:rFonts w:hint="eastAsia" w:ascii="宋体" w:hAnsi="宋体" w:cs="宋体"/>
                <w:color w:val="auto"/>
                <w:szCs w:val="21"/>
                <w:highlight w:val="none"/>
              </w:rPr>
              <w:t>富士通、三菱重工海尔、海信日立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130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auto"/>
                <w:szCs w:val="21"/>
                <w:highlight w:val="none"/>
              </w:rPr>
            </w:pPr>
            <w:r>
              <w:rPr>
                <w:rFonts w:hint="eastAsia" w:ascii="宋体" w:hAnsi="宋体" w:cs="宋体"/>
                <w:color w:val="auto"/>
                <w:szCs w:val="21"/>
                <w:highlight w:val="none"/>
              </w:rPr>
              <w:t>26.</w:t>
            </w:r>
          </w:p>
        </w:tc>
        <w:tc>
          <w:tcPr>
            <w:tcW w:w="2914"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auto"/>
                <w:szCs w:val="21"/>
                <w:highlight w:val="none"/>
              </w:rPr>
            </w:pPr>
            <w:r>
              <w:rPr>
                <w:rFonts w:hint="eastAsia" w:ascii="宋体" w:hAnsi="宋体" w:cs="宋体"/>
                <w:color w:val="auto"/>
                <w:szCs w:val="21"/>
                <w:highlight w:val="none"/>
              </w:rPr>
              <w:t>机组控制系统</w:t>
            </w:r>
          </w:p>
        </w:tc>
        <w:tc>
          <w:tcPr>
            <w:tcW w:w="4130"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宋体"/>
                <w:color w:val="auto"/>
                <w:szCs w:val="21"/>
                <w:highlight w:val="none"/>
              </w:rPr>
            </w:pPr>
            <w:r>
              <w:rPr>
                <w:rFonts w:hint="eastAsia" w:ascii="宋体" w:hAnsi="宋体" w:cs="宋体"/>
                <w:color w:val="auto"/>
                <w:szCs w:val="21"/>
                <w:highlight w:val="none"/>
              </w:rPr>
              <w:t>西门子、霍尼韦尔、江森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130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auto"/>
                <w:szCs w:val="21"/>
                <w:highlight w:val="none"/>
              </w:rPr>
            </w:pPr>
            <w:r>
              <w:rPr>
                <w:rFonts w:hint="eastAsia" w:ascii="宋体" w:hAnsi="宋体" w:cs="宋体"/>
                <w:color w:val="auto"/>
                <w:szCs w:val="21"/>
                <w:highlight w:val="none"/>
              </w:rPr>
              <w:t>27.</w:t>
            </w:r>
          </w:p>
        </w:tc>
        <w:tc>
          <w:tcPr>
            <w:tcW w:w="2914"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auto"/>
                <w:szCs w:val="21"/>
                <w:highlight w:val="none"/>
              </w:rPr>
            </w:pPr>
            <w:r>
              <w:rPr>
                <w:rFonts w:hint="eastAsia" w:ascii="宋体" w:hAnsi="宋体" w:cs="宋体"/>
                <w:color w:val="auto"/>
                <w:szCs w:val="21"/>
                <w:highlight w:val="none"/>
              </w:rPr>
              <w:t>等比例积分调节阀</w:t>
            </w:r>
          </w:p>
        </w:tc>
        <w:tc>
          <w:tcPr>
            <w:tcW w:w="4130"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宋体"/>
                <w:color w:val="auto"/>
                <w:szCs w:val="21"/>
                <w:highlight w:val="none"/>
              </w:rPr>
            </w:pPr>
            <w:r>
              <w:rPr>
                <w:rFonts w:hint="eastAsia" w:ascii="宋体" w:hAnsi="宋体" w:cs="宋体"/>
                <w:color w:val="auto"/>
                <w:szCs w:val="21"/>
                <w:highlight w:val="none"/>
              </w:rPr>
              <w:t>西门子、霍尼韦尔、江森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4" w:hRule="atLeast"/>
        </w:trPr>
        <w:tc>
          <w:tcPr>
            <w:tcW w:w="130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auto"/>
                <w:szCs w:val="21"/>
                <w:highlight w:val="none"/>
              </w:rPr>
            </w:pPr>
            <w:r>
              <w:rPr>
                <w:rFonts w:hint="eastAsia" w:ascii="宋体" w:hAnsi="宋体" w:cs="宋体"/>
                <w:color w:val="auto"/>
                <w:szCs w:val="21"/>
                <w:highlight w:val="none"/>
              </w:rPr>
              <w:t>28.</w:t>
            </w:r>
          </w:p>
        </w:tc>
        <w:tc>
          <w:tcPr>
            <w:tcW w:w="2914"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auto"/>
                <w:szCs w:val="21"/>
                <w:highlight w:val="none"/>
              </w:rPr>
            </w:pPr>
            <w:r>
              <w:rPr>
                <w:rFonts w:hint="eastAsia" w:ascii="宋体" w:hAnsi="宋体" w:cs="宋体"/>
                <w:color w:val="auto"/>
                <w:szCs w:val="21"/>
                <w:highlight w:val="none"/>
              </w:rPr>
              <w:t>水泵</w:t>
            </w:r>
          </w:p>
        </w:tc>
        <w:tc>
          <w:tcPr>
            <w:tcW w:w="4130"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宋体"/>
                <w:color w:val="auto"/>
                <w:szCs w:val="21"/>
                <w:highlight w:val="none"/>
              </w:rPr>
            </w:pPr>
            <w:r>
              <w:rPr>
                <w:rFonts w:hint="eastAsia" w:ascii="宋体" w:hAnsi="宋体" w:cs="宋体"/>
                <w:color w:val="auto"/>
                <w:szCs w:val="21"/>
                <w:highlight w:val="none"/>
              </w:rPr>
              <w:t>上海连成、凯泉、格兰富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130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auto"/>
                <w:szCs w:val="21"/>
                <w:highlight w:val="none"/>
              </w:rPr>
            </w:pPr>
            <w:r>
              <w:rPr>
                <w:rFonts w:hint="eastAsia" w:ascii="宋体" w:hAnsi="宋体" w:cs="宋体"/>
                <w:color w:val="auto"/>
                <w:szCs w:val="21"/>
                <w:highlight w:val="none"/>
              </w:rPr>
              <w:t>29.</w:t>
            </w:r>
          </w:p>
        </w:tc>
        <w:tc>
          <w:tcPr>
            <w:tcW w:w="2914"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auto"/>
                <w:szCs w:val="21"/>
                <w:highlight w:val="none"/>
              </w:rPr>
            </w:pPr>
            <w:r>
              <w:rPr>
                <w:rFonts w:hint="eastAsia" w:ascii="宋体" w:hAnsi="宋体" w:cs="宋体"/>
                <w:color w:val="auto"/>
                <w:szCs w:val="21"/>
                <w:highlight w:val="none"/>
              </w:rPr>
              <w:t>离心式排风机</w:t>
            </w:r>
          </w:p>
        </w:tc>
        <w:tc>
          <w:tcPr>
            <w:tcW w:w="4130"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宋体"/>
                <w:color w:val="auto"/>
                <w:szCs w:val="21"/>
                <w:highlight w:val="none"/>
              </w:rPr>
            </w:pPr>
            <w:r>
              <w:rPr>
                <w:rFonts w:hint="eastAsia" w:ascii="宋体" w:hAnsi="宋体" w:cs="宋体"/>
                <w:color w:val="auto"/>
                <w:szCs w:val="21"/>
                <w:highlight w:val="none"/>
              </w:rPr>
              <w:t>上虞贝斯特、上虞科博、上虞专用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130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auto"/>
                <w:szCs w:val="21"/>
                <w:highlight w:val="none"/>
              </w:rPr>
            </w:pPr>
            <w:r>
              <w:rPr>
                <w:rFonts w:hint="eastAsia" w:ascii="宋体" w:hAnsi="宋体" w:cs="宋体"/>
                <w:color w:val="auto"/>
                <w:szCs w:val="21"/>
                <w:highlight w:val="none"/>
              </w:rPr>
              <w:t>30.</w:t>
            </w:r>
          </w:p>
        </w:tc>
        <w:tc>
          <w:tcPr>
            <w:tcW w:w="2914"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auto"/>
                <w:szCs w:val="21"/>
                <w:highlight w:val="none"/>
              </w:rPr>
            </w:pPr>
            <w:r>
              <w:rPr>
                <w:rFonts w:hint="eastAsia" w:ascii="宋体" w:hAnsi="宋体" w:cs="宋体"/>
                <w:color w:val="auto"/>
                <w:sz w:val="20"/>
                <w:szCs w:val="20"/>
                <w:highlight w:val="none"/>
                <w:lang w:bidi="ar"/>
              </w:rPr>
              <w:t>空气外排处理箱</w:t>
            </w:r>
          </w:p>
        </w:tc>
        <w:tc>
          <w:tcPr>
            <w:tcW w:w="4130"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宋体"/>
                <w:color w:val="auto"/>
                <w:szCs w:val="21"/>
                <w:highlight w:val="none"/>
              </w:rPr>
            </w:pPr>
            <w:r>
              <w:rPr>
                <w:rFonts w:hint="eastAsia" w:ascii="宋体" w:hAnsi="宋体" w:cs="宋体"/>
                <w:color w:val="auto"/>
                <w:szCs w:val="21"/>
                <w:highlight w:val="none"/>
              </w:rPr>
              <w:t>皇家动力、亿利达、科禄格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130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auto"/>
                <w:szCs w:val="21"/>
                <w:highlight w:val="none"/>
              </w:rPr>
            </w:pPr>
            <w:r>
              <w:rPr>
                <w:rFonts w:hint="eastAsia" w:ascii="宋体" w:hAnsi="宋体" w:cs="宋体"/>
                <w:color w:val="auto"/>
                <w:szCs w:val="21"/>
                <w:highlight w:val="none"/>
              </w:rPr>
              <w:t>31.</w:t>
            </w:r>
          </w:p>
        </w:tc>
        <w:tc>
          <w:tcPr>
            <w:tcW w:w="2914"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auto"/>
                <w:szCs w:val="21"/>
                <w:highlight w:val="none"/>
              </w:rPr>
            </w:pPr>
            <w:r>
              <w:rPr>
                <w:rFonts w:hint="eastAsia" w:ascii="宋体" w:hAnsi="宋体" w:cs="宋体"/>
                <w:color w:val="auto"/>
                <w:szCs w:val="21"/>
                <w:highlight w:val="none"/>
              </w:rPr>
              <w:t>橡塑保温棉</w:t>
            </w:r>
          </w:p>
        </w:tc>
        <w:tc>
          <w:tcPr>
            <w:tcW w:w="4130"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宋体"/>
                <w:color w:val="auto"/>
                <w:szCs w:val="21"/>
                <w:highlight w:val="none"/>
              </w:rPr>
            </w:pPr>
            <w:r>
              <w:rPr>
                <w:rFonts w:hint="eastAsia" w:ascii="宋体" w:hAnsi="宋体" w:cs="宋体"/>
                <w:color w:val="auto"/>
                <w:szCs w:val="21"/>
                <w:highlight w:val="none"/>
              </w:rPr>
              <w:t>阿乐斯福乐斯（德国）、阿斯克（浙江）、杜肯福耐斯（美国）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130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auto"/>
                <w:szCs w:val="21"/>
                <w:highlight w:val="none"/>
              </w:rPr>
            </w:pPr>
            <w:r>
              <w:rPr>
                <w:rFonts w:hint="eastAsia" w:ascii="宋体" w:hAnsi="宋体" w:cs="宋体"/>
                <w:color w:val="auto"/>
                <w:szCs w:val="21"/>
                <w:highlight w:val="none"/>
              </w:rPr>
              <w:t>32.</w:t>
            </w:r>
          </w:p>
        </w:tc>
        <w:tc>
          <w:tcPr>
            <w:tcW w:w="2914"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auto"/>
                <w:szCs w:val="21"/>
                <w:highlight w:val="none"/>
              </w:rPr>
            </w:pPr>
            <w:r>
              <w:rPr>
                <w:rFonts w:hint="eastAsia" w:ascii="宋体" w:hAnsi="宋体" w:cs="宋体"/>
                <w:color w:val="auto"/>
                <w:szCs w:val="21"/>
                <w:highlight w:val="none"/>
              </w:rPr>
              <w:t>加湿器</w:t>
            </w:r>
          </w:p>
        </w:tc>
        <w:tc>
          <w:tcPr>
            <w:tcW w:w="4130"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宋体"/>
                <w:color w:val="auto"/>
                <w:szCs w:val="21"/>
                <w:highlight w:val="none"/>
              </w:rPr>
            </w:pPr>
            <w:r>
              <w:rPr>
                <w:rFonts w:hint="eastAsia" w:ascii="宋体" w:hAnsi="宋体" w:cs="宋体"/>
                <w:color w:val="auto"/>
                <w:szCs w:val="21"/>
                <w:highlight w:val="none"/>
              </w:rPr>
              <w:t>卡乐、康迪、思探得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130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auto"/>
                <w:szCs w:val="21"/>
                <w:highlight w:val="none"/>
              </w:rPr>
            </w:pPr>
            <w:r>
              <w:rPr>
                <w:rFonts w:hint="eastAsia" w:ascii="宋体" w:hAnsi="宋体" w:cs="宋体"/>
                <w:color w:val="auto"/>
                <w:szCs w:val="21"/>
                <w:highlight w:val="none"/>
              </w:rPr>
              <w:t>33.</w:t>
            </w:r>
          </w:p>
        </w:tc>
        <w:tc>
          <w:tcPr>
            <w:tcW w:w="2914"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auto"/>
                <w:szCs w:val="21"/>
                <w:highlight w:val="none"/>
              </w:rPr>
            </w:pPr>
            <w:r>
              <w:rPr>
                <w:rFonts w:hint="eastAsia" w:ascii="宋体" w:hAnsi="宋体" w:cs="宋体"/>
                <w:color w:val="auto"/>
                <w:szCs w:val="21"/>
                <w:highlight w:val="none"/>
              </w:rPr>
              <w:t>高效送风口</w:t>
            </w:r>
          </w:p>
        </w:tc>
        <w:tc>
          <w:tcPr>
            <w:tcW w:w="4130"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宋体"/>
                <w:color w:val="auto"/>
                <w:szCs w:val="21"/>
                <w:highlight w:val="none"/>
              </w:rPr>
            </w:pPr>
            <w:r>
              <w:rPr>
                <w:rFonts w:hint="eastAsia" w:ascii="宋体" w:hAnsi="宋体" w:cs="宋体"/>
                <w:color w:val="auto"/>
                <w:szCs w:val="21"/>
                <w:highlight w:val="none"/>
              </w:rPr>
              <w:t>铭铉、智迪锐、浩东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130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auto"/>
                <w:szCs w:val="21"/>
                <w:highlight w:val="none"/>
              </w:rPr>
            </w:pPr>
            <w:r>
              <w:rPr>
                <w:rFonts w:hint="eastAsia" w:ascii="宋体" w:hAnsi="宋体" w:cs="宋体"/>
                <w:color w:val="auto"/>
                <w:szCs w:val="21"/>
                <w:highlight w:val="none"/>
              </w:rPr>
              <w:t>34.</w:t>
            </w:r>
          </w:p>
        </w:tc>
        <w:tc>
          <w:tcPr>
            <w:tcW w:w="2914"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auto"/>
                <w:szCs w:val="21"/>
                <w:highlight w:val="none"/>
              </w:rPr>
            </w:pPr>
            <w:r>
              <w:rPr>
                <w:rFonts w:hint="eastAsia" w:ascii="宋体" w:hAnsi="宋体" w:cs="宋体"/>
                <w:color w:val="auto"/>
                <w:szCs w:val="21"/>
                <w:highlight w:val="none"/>
              </w:rPr>
              <w:t>送风天花</w:t>
            </w:r>
          </w:p>
        </w:tc>
        <w:tc>
          <w:tcPr>
            <w:tcW w:w="4130"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宋体"/>
                <w:color w:val="auto"/>
                <w:szCs w:val="21"/>
                <w:highlight w:val="none"/>
              </w:rPr>
            </w:pPr>
            <w:r>
              <w:rPr>
                <w:rFonts w:hint="eastAsia" w:ascii="宋体" w:hAnsi="宋体" w:cs="宋体"/>
                <w:color w:val="auto"/>
                <w:szCs w:val="21"/>
                <w:highlight w:val="none"/>
              </w:rPr>
              <w:t>铭铉、智迪锐、浩东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130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auto"/>
                <w:szCs w:val="21"/>
                <w:highlight w:val="none"/>
              </w:rPr>
            </w:pPr>
            <w:r>
              <w:rPr>
                <w:rFonts w:hint="eastAsia" w:ascii="宋体" w:hAnsi="宋体" w:cs="宋体"/>
                <w:color w:val="auto"/>
                <w:szCs w:val="21"/>
                <w:highlight w:val="none"/>
              </w:rPr>
              <w:t>35.</w:t>
            </w:r>
          </w:p>
        </w:tc>
        <w:tc>
          <w:tcPr>
            <w:tcW w:w="2914"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auto"/>
                <w:szCs w:val="21"/>
                <w:highlight w:val="none"/>
              </w:rPr>
            </w:pPr>
            <w:r>
              <w:rPr>
                <w:rFonts w:hint="eastAsia" w:ascii="宋体" w:hAnsi="宋体" w:cs="宋体"/>
                <w:color w:val="auto"/>
                <w:szCs w:val="21"/>
                <w:highlight w:val="none"/>
              </w:rPr>
              <w:t>高效过滤器</w:t>
            </w:r>
          </w:p>
        </w:tc>
        <w:tc>
          <w:tcPr>
            <w:tcW w:w="4130"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宋体"/>
                <w:color w:val="auto"/>
                <w:szCs w:val="21"/>
                <w:highlight w:val="none"/>
              </w:rPr>
            </w:pPr>
            <w:r>
              <w:rPr>
                <w:rFonts w:hint="eastAsia" w:ascii="宋体" w:hAnsi="宋体" w:cs="宋体"/>
                <w:color w:val="auto"/>
                <w:szCs w:val="21"/>
                <w:highlight w:val="none"/>
              </w:rPr>
              <w:t>康斐尔、美埃、AAF</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130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auto"/>
                <w:szCs w:val="21"/>
                <w:highlight w:val="none"/>
              </w:rPr>
            </w:pPr>
            <w:r>
              <w:rPr>
                <w:rFonts w:hint="eastAsia" w:ascii="宋体" w:hAnsi="宋体" w:cs="宋体"/>
                <w:color w:val="auto"/>
                <w:szCs w:val="21"/>
                <w:highlight w:val="none"/>
              </w:rPr>
              <w:t>36.</w:t>
            </w:r>
          </w:p>
        </w:tc>
        <w:tc>
          <w:tcPr>
            <w:tcW w:w="2914"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auto"/>
                <w:szCs w:val="21"/>
                <w:highlight w:val="none"/>
              </w:rPr>
            </w:pPr>
            <w:r>
              <w:rPr>
                <w:rFonts w:hint="eastAsia" w:ascii="宋体" w:hAnsi="宋体" w:cs="宋体"/>
                <w:color w:val="auto"/>
                <w:szCs w:val="21"/>
                <w:highlight w:val="none"/>
              </w:rPr>
              <w:t>生物安全柜</w:t>
            </w:r>
          </w:p>
        </w:tc>
        <w:tc>
          <w:tcPr>
            <w:tcW w:w="4130"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宋体"/>
                <w:color w:val="auto"/>
                <w:szCs w:val="21"/>
                <w:highlight w:val="none"/>
              </w:rPr>
            </w:pPr>
            <w:r>
              <w:rPr>
                <w:rFonts w:hint="eastAsia" w:ascii="宋体" w:hAnsi="宋体" w:cs="宋体"/>
                <w:color w:val="auto"/>
                <w:szCs w:val="21"/>
                <w:highlight w:val="none"/>
              </w:rPr>
              <w:t>苏净安泰、山东新华、青岛海尔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130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auto"/>
                <w:szCs w:val="21"/>
                <w:highlight w:val="none"/>
              </w:rPr>
            </w:pPr>
            <w:r>
              <w:rPr>
                <w:rFonts w:hint="eastAsia" w:ascii="宋体" w:hAnsi="宋体" w:cs="宋体"/>
                <w:color w:val="auto"/>
                <w:szCs w:val="21"/>
                <w:highlight w:val="none"/>
              </w:rPr>
              <w:t>37.</w:t>
            </w:r>
          </w:p>
        </w:tc>
        <w:tc>
          <w:tcPr>
            <w:tcW w:w="2914"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auto"/>
                <w:szCs w:val="21"/>
                <w:highlight w:val="none"/>
              </w:rPr>
            </w:pPr>
            <w:r>
              <w:rPr>
                <w:rFonts w:hint="eastAsia" w:ascii="宋体" w:hAnsi="宋体" w:cs="宋体"/>
                <w:color w:val="auto"/>
                <w:szCs w:val="21"/>
                <w:highlight w:val="none"/>
              </w:rPr>
              <w:t>阀门</w:t>
            </w:r>
          </w:p>
        </w:tc>
        <w:tc>
          <w:tcPr>
            <w:tcW w:w="4130"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宋体"/>
                <w:color w:val="auto"/>
                <w:szCs w:val="21"/>
                <w:highlight w:val="none"/>
              </w:rPr>
            </w:pPr>
            <w:r>
              <w:rPr>
                <w:rFonts w:hint="eastAsia" w:ascii="宋体" w:hAnsi="宋体" w:cs="宋体"/>
                <w:color w:val="auto"/>
                <w:szCs w:val="21"/>
                <w:highlight w:val="none"/>
              </w:rPr>
              <w:t>良工、精工、上阀</w:t>
            </w:r>
          </w:p>
        </w:tc>
      </w:tr>
    </w:tbl>
    <w:p>
      <w:pPr>
        <w:pStyle w:val="8"/>
        <w:spacing w:line="360" w:lineRule="auto"/>
        <w:rPr>
          <w:rFonts w:ascii="宋体" w:hAnsi="宋体" w:cs="宋体"/>
          <w:b w:val="0"/>
          <w:bCs w:val="0"/>
          <w:color w:val="auto"/>
          <w:sz w:val="21"/>
          <w:szCs w:val="21"/>
          <w:highlight w:val="none"/>
        </w:rPr>
      </w:pPr>
      <w:r>
        <w:rPr>
          <w:rFonts w:hint="eastAsia" w:ascii="宋体" w:hAnsi="宋体" w:cs="宋体"/>
          <w:b w:val="0"/>
          <w:bCs w:val="0"/>
          <w:color w:val="auto"/>
          <w:sz w:val="21"/>
          <w:szCs w:val="21"/>
          <w:highlight w:val="none"/>
        </w:rPr>
        <w:t>说明：此品牌选择表仅作为投标方报价的参考，投标方可以提供不低于表格中品牌档次的其他品牌产品。所提供的所有设备材料品牌与型号，均需通过甲方同意。</w:t>
      </w:r>
    </w:p>
    <w:p>
      <w:pPr>
        <w:rPr>
          <w:rFonts w:ascii="宋体" w:hAnsi="宋体"/>
          <w:color w:val="auto"/>
          <w:highlight w:val="none"/>
        </w:rPr>
      </w:pPr>
    </w:p>
    <w:p>
      <w:pPr>
        <w:spacing w:line="360" w:lineRule="auto"/>
        <w:outlineLvl w:val="1"/>
        <w:rPr>
          <w:rFonts w:ascii="宋体" w:hAnsi="宋体"/>
          <w:color w:val="auto"/>
          <w:highlight w:val="none"/>
        </w:rPr>
      </w:pPr>
      <w:r>
        <w:rPr>
          <w:rFonts w:hint="eastAsia"/>
          <w:b/>
          <w:bCs/>
          <w:color w:val="auto"/>
          <w:sz w:val="28"/>
          <w:szCs w:val="28"/>
          <w:highlight w:val="none"/>
        </w:rPr>
        <w:t>第六节 图纸（另附）和材料设备清单</w:t>
      </w:r>
    </w:p>
    <w:tbl>
      <w:tblPr>
        <w:tblStyle w:val="27"/>
        <w:tblW w:w="18208" w:type="dxa"/>
        <w:tblInd w:w="93" w:type="dxa"/>
        <w:tblLayout w:type="fixed"/>
        <w:tblCellMar>
          <w:top w:w="0" w:type="dxa"/>
          <w:left w:w="108" w:type="dxa"/>
          <w:bottom w:w="0" w:type="dxa"/>
          <w:right w:w="108" w:type="dxa"/>
        </w:tblCellMar>
      </w:tblPr>
      <w:tblGrid>
        <w:gridCol w:w="9673"/>
        <w:gridCol w:w="8535"/>
      </w:tblGrid>
      <w:tr>
        <w:tblPrEx>
          <w:tblCellMar>
            <w:top w:w="0" w:type="dxa"/>
            <w:left w:w="108" w:type="dxa"/>
            <w:bottom w:w="0" w:type="dxa"/>
            <w:right w:w="108" w:type="dxa"/>
          </w:tblCellMar>
        </w:tblPrEx>
        <w:trPr>
          <w:trHeight w:val="9114" w:hRule="atLeast"/>
        </w:trPr>
        <w:tc>
          <w:tcPr>
            <w:tcW w:w="9673" w:type="dxa"/>
            <w:tcBorders>
              <w:top w:val="nil"/>
              <w:left w:val="nil"/>
              <w:bottom w:val="nil"/>
              <w:right w:val="nil"/>
            </w:tcBorders>
            <w:noWrap/>
            <w:vAlign w:val="center"/>
          </w:tcPr>
          <w:tbl>
            <w:tblPr>
              <w:tblStyle w:val="27"/>
              <w:tblW w:w="9124" w:type="dxa"/>
              <w:jc w:val="center"/>
              <w:tblLayout w:type="fixed"/>
              <w:tblCellMar>
                <w:top w:w="0" w:type="dxa"/>
                <w:left w:w="108" w:type="dxa"/>
                <w:bottom w:w="0" w:type="dxa"/>
                <w:right w:w="108" w:type="dxa"/>
              </w:tblCellMar>
            </w:tblPr>
            <w:tblGrid>
              <w:gridCol w:w="450"/>
              <w:gridCol w:w="789"/>
              <w:gridCol w:w="4357"/>
              <w:gridCol w:w="1073"/>
              <w:gridCol w:w="795"/>
              <w:gridCol w:w="1042"/>
              <w:gridCol w:w="618"/>
            </w:tblGrid>
            <w:tr>
              <w:tblPrEx>
                <w:tblCellMar>
                  <w:top w:w="0" w:type="dxa"/>
                  <w:left w:w="108" w:type="dxa"/>
                  <w:bottom w:w="0" w:type="dxa"/>
                  <w:right w:w="108" w:type="dxa"/>
                </w:tblCellMar>
              </w:tblPrEx>
              <w:trPr>
                <w:trHeight w:val="312" w:hRule="atLeast"/>
                <w:jc w:val="center"/>
              </w:trPr>
              <w:tc>
                <w:tcPr>
                  <w:tcW w:w="45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bCs/>
                      <w:color w:val="auto"/>
                      <w:sz w:val="20"/>
                      <w:szCs w:val="20"/>
                      <w:highlight w:val="none"/>
                    </w:rPr>
                  </w:pPr>
                  <w:r>
                    <w:rPr>
                      <w:rFonts w:hint="eastAsia" w:ascii="宋体" w:hAnsi="宋体" w:cs="宋体"/>
                      <w:b/>
                      <w:bCs/>
                      <w:color w:val="auto"/>
                      <w:sz w:val="20"/>
                      <w:szCs w:val="20"/>
                      <w:highlight w:val="none"/>
                      <w:lang w:bidi="ar"/>
                    </w:rPr>
                    <w:t>序号</w:t>
                  </w:r>
                </w:p>
              </w:tc>
              <w:tc>
                <w:tcPr>
                  <w:tcW w:w="78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bCs/>
                      <w:color w:val="auto"/>
                      <w:sz w:val="20"/>
                      <w:szCs w:val="20"/>
                      <w:highlight w:val="none"/>
                    </w:rPr>
                  </w:pPr>
                  <w:r>
                    <w:rPr>
                      <w:rFonts w:hint="eastAsia" w:ascii="宋体" w:hAnsi="宋体" w:cs="宋体"/>
                      <w:b/>
                      <w:bCs/>
                      <w:color w:val="auto"/>
                      <w:sz w:val="20"/>
                      <w:szCs w:val="20"/>
                      <w:highlight w:val="none"/>
                      <w:lang w:bidi="ar"/>
                    </w:rPr>
                    <w:t>设备、材料名称</w:t>
                  </w:r>
                </w:p>
              </w:tc>
              <w:tc>
                <w:tcPr>
                  <w:tcW w:w="435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bCs/>
                      <w:color w:val="auto"/>
                      <w:sz w:val="20"/>
                      <w:szCs w:val="20"/>
                      <w:highlight w:val="none"/>
                    </w:rPr>
                  </w:pPr>
                  <w:r>
                    <w:rPr>
                      <w:rFonts w:hint="eastAsia" w:ascii="宋体" w:hAnsi="宋体" w:cs="宋体"/>
                      <w:b/>
                      <w:bCs/>
                      <w:color w:val="auto"/>
                      <w:sz w:val="20"/>
                      <w:szCs w:val="20"/>
                      <w:highlight w:val="none"/>
                      <w:lang w:bidi="ar"/>
                    </w:rPr>
                    <w:t>规格</w:t>
                  </w:r>
                  <w:r>
                    <w:rPr>
                      <w:rFonts w:ascii="Arial Narrow" w:hAnsi="Arial Narrow" w:eastAsia="Arial Narrow" w:cs="Arial Narrow"/>
                      <w:b/>
                      <w:bCs/>
                      <w:color w:val="auto"/>
                      <w:sz w:val="20"/>
                      <w:szCs w:val="20"/>
                      <w:highlight w:val="none"/>
                      <w:lang w:bidi="ar"/>
                    </w:rPr>
                    <w:t>/</w:t>
                  </w:r>
                  <w:r>
                    <w:rPr>
                      <w:rFonts w:hint="eastAsia" w:ascii="宋体" w:hAnsi="宋体" w:cs="宋体"/>
                      <w:b/>
                      <w:bCs/>
                      <w:color w:val="auto"/>
                      <w:sz w:val="20"/>
                      <w:szCs w:val="20"/>
                      <w:highlight w:val="none"/>
                      <w:lang w:bidi="ar"/>
                    </w:rPr>
                    <w:t>型号</w:t>
                  </w:r>
                </w:p>
              </w:tc>
              <w:tc>
                <w:tcPr>
                  <w:tcW w:w="107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bCs/>
                      <w:color w:val="auto"/>
                      <w:sz w:val="20"/>
                      <w:szCs w:val="20"/>
                      <w:highlight w:val="none"/>
                    </w:rPr>
                  </w:pPr>
                  <w:r>
                    <w:rPr>
                      <w:rFonts w:hint="eastAsia" w:ascii="宋体" w:hAnsi="宋体" w:cs="宋体"/>
                      <w:b/>
                      <w:bCs/>
                      <w:color w:val="auto"/>
                      <w:sz w:val="20"/>
                      <w:szCs w:val="20"/>
                      <w:highlight w:val="none"/>
                      <w:lang w:val="en-US" w:eastAsia="zh-CN" w:bidi="ar"/>
                    </w:rPr>
                    <w:t>推荐</w:t>
                  </w:r>
                  <w:r>
                    <w:rPr>
                      <w:rFonts w:hint="eastAsia" w:ascii="宋体" w:hAnsi="宋体" w:cs="宋体"/>
                      <w:b/>
                      <w:bCs/>
                      <w:color w:val="auto"/>
                      <w:sz w:val="20"/>
                      <w:szCs w:val="20"/>
                      <w:highlight w:val="none"/>
                      <w:lang w:bidi="ar"/>
                    </w:rPr>
                    <w:t>品牌</w:t>
                  </w:r>
                </w:p>
              </w:tc>
              <w:tc>
                <w:tcPr>
                  <w:tcW w:w="79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bCs/>
                      <w:color w:val="auto"/>
                      <w:sz w:val="20"/>
                      <w:szCs w:val="20"/>
                      <w:highlight w:val="none"/>
                    </w:rPr>
                  </w:pPr>
                  <w:r>
                    <w:rPr>
                      <w:rFonts w:hint="eastAsia" w:ascii="宋体" w:hAnsi="宋体" w:cs="宋体"/>
                      <w:b/>
                      <w:bCs/>
                      <w:color w:val="auto"/>
                      <w:sz w:val="20"/>
                      <w:szCs w:val="20"/>
                      <w:highlight w:val="none"/>
                      <w:lang w:bidi="ar"/>
                    </w:rPr>
                    <w:t>单位</w:t>
                  </w:r>
                </w:p>
              </w:tc>
              <w:tc>
                <w:tcPr>
                  <w:tcW w:w="104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bCs/>
                      <w:color w:val="auto"/>
                      <w:sz w:val="20"/>
                      <w:szCs w:val="20"/>
                      <w:highlight w:val="none"/>
                    </w:rPr>
                  </w:pPr>
                  <w:r>
                    <w:rPr>
                      <w:rFonts w:hint="eastAsia" w:ascii="宋体" w:hAnsi="宋体" w:cs="宋体"/>
                      <w:b/>
                      <w:bCs/>
                      <w:color w:val="auto"/>
                      <w:sz w:val="20"/>
                      <w:szCs w:val="20"/>
                      <w:highlight w:val="none"/>
                      <w:lang w:bidi="ar"/>
                    </w:rPr>
                    <w:t>工程量</w:t>
                  </w:r>
                </w:p>
              </w:tc>
              <w:tc>
                <w:tcPr>
                  <w:tcW w:w="61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bCs/>
                      <w:color w:val="auto"/>
                      <w:sz w:val="20"/>
                      <w:szCs w:val="20"/>
                      <w:highlight w:val="none"/>
                    </w:rPr>
                  </w:pPr>
                  <w:r>
                    <w:rPr>
                      <w:rFonts w:hint="eastAsia" w:ascii="宋体" w:hAnsi="宋体" w:cs="宋体"/>
                      <w:b/>
                      <w:bCs/>
                      <w:color w:val="auto"/>
                      <w:sz w:val="20"/>
                      <w:szCs w:val="20"/>
                      <w:highlight w:val="none"/>
                      <w:lang w:bidi="ar"/>
                    </w:rPr>
                    <w:t>备注</w:t>
                  </w:r>
                </w:p>
              </w:tc>
            </w:tr>
            <w:tr>
              <w:tblPrEx>
                <w:tblCellMar>
                  <w:top w:w="0" w:type="dxa"/>
                  <w:left w:w="108" w:type="dxa"/>
                  <w:bottom w:w="0" w:type="dxa"/>
                  <w:right w:w="108" w:type="dxa"/>
                </w:tblCellMar>
              </w:tblPrEx>
              <w:trPr>
                <w:trHeight w:val="735" w:hRule="atLeast"/>
                <w:jc w:val="center"/>
              </w:trPr>
              <w:tc>
                <w:tcPr>
                  <w:tcW w:w="4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bCs/>
                      <w:color w:val="auto"/>
                      <w:sz w:val="20"/>
                      <w:szCs w:val="20"/>
                      <w:highlight w:val="none"/>
                    </w:rPr>
                  </w:pPr>
                </w:p>
              </w:tc>
              <w:tc>
                <w:tcPr>
                  <w:tcW w:w="78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bCs/>
                      <w:color w:val="auto"/>
                      <w:sz w:val="20"/>
                      <w:szCs w:val="20"/>
                      <w:highlight w:val="none"/>
                    </w:rPr>
                  </w:pPr>
                </w:p>
              </w:tc>
              <w:tc>
                <w:tcPr>
                  <w:tcW w:w="435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bCs/>
                      <w:color w:val="auto"/>
                      <w:sz w:val="20"/>
                      <w:szCs w:val="20"/>
                      <w:highlight w:val="none"/>
                    </w:rPr>
                  </w:pPr>
                </w:p>
              </w:tc>
              <w:tc>
                <w:tcPr>
                  <w:tcW w:w="107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bCs/>
                      <w:color w:val="auto"/>
                      <w:sz w:val="20"/>
                      <w:szCs w:val="20"/>
                      <w:highlight w:val="none"/>
                    </w:rPr>
                  </w:pPr>
                </w:p>
              </w:tc>
              <w:tc>
                <w:tcPr>
                  <w:tcW w:w="7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bCs/>
                      <w:color w:val="auto"/>
                      <w:sz w:val="20"/>
                      <w:szCs w:val="20"/>
                      <w:highlight w:val="none"/>
                    </w:rPr>
                  </w:pPr>
                </w:p>
              </w:tc>
              <w:tc>
                <w:tcPr>
                  <w:tcW w:w="104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bCs/>
                      <w:color w:val="auto"/>
                      <w:sz w:val="20"/>
                      <w:szCs w:val="20"/>
                      <w:highlight w:val="none"/>
                    </w:rPr>
                  </w:pPr>
                </w:p>
              </w:tc>
              <w:tc>
                <w:tcPr>
                  <w:tcW w:w="61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bCs/>
                      <w:color w:val="auto"/>
                      <w:sz w:val="20"/>
                      <w:szCs w:val="20"/>
                      <w:highlight w:val="none"/>
                    </w:rPr>
                  </w:pPr>
                </w:p>
              </w:tc>
            </w:tr>
            <w:tr>
              <w:tblPrEx>
                <w:tblCellMar>
                  <w:top w:w="0" w:type="dxa"/>
                  <w:left w:w="108" w:type="dxa"/>
                  <w:bottom w:w="0" w:type="dxa"/>
                  <w:right w:w="108" w:type="dxa"/>
                </w:tblCellMar>
              </w:tblPrEx>
              <w:trPr>
                <w:trHeight w:val="690" w:hRule="atLeast"/>
                <w:jc w:val="center"/>
              </w:trPr>
              <w:tc>
                <w:tcPr>
                  <w:tcW w:w="4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bCs/>
                      <w:color w:val="auto"/>
                      <w:sz w:val="20"/>
                      <w:szCs w:val="20"/>
                      <w:highlight w:val="none"/>
                    </w:rPr>
                  </w:pPr>
                  <w:r>
                    <w:rPr>
                      <w:rFonts w:hint="eastAsia" w:ascii="宋体" w:hAnsi="宋体" w:cs="宋体"/>
                      <w:b/>
                      <w:bCs/>
                      <w:color w:val="auto"/>
                      <w:sz w:val="20"/>
                      <w:szCs w:val="20"/>
                      <w:highlight w:val="none"/>
                      <w:lang w:bidi="ar"/>
                    </w:rPr>
                    <w:t>一</w:t>
                  </w:r>
                </w:p>
              </w:tc>
              <w:tc>
                <w:tcPr>
                  <w:tcW w:w="514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Narrow" w:hAnsi="Arial Narrow" w:eastAsia="Arial Narrow" w:cs="Arial Narrow"/>
                      <w:color w:val="auto"/>
                      <w:sz w:val="20"/>
                      <w:szCs w:val="20"/>
                      <w:highlight w:val="none"/>
                    </w:rPr>
                  </w:pPr>
                  <w:r>
                    <w:rPr>
                      <w:rFonts w:hint="eastAsia" w:ascii="宋体" w:hAnsi="宋体" w:cs="宋体"/>
                      <w:b/>
                      <w:bCs/>
                      <w:color w:val="auto"/>
                      <w:sz w:val="20"/>
                      <w:szCs w:val="20"/>
                      <w:highlight w:val="none"/>
                      <w:lang w:bidi="ar"/>
                    </w:rPr>
                    <w:t xml:space="preserve"> 地面工程 </w:t>
                  </w:r>
                </w:p>
              </w:tc>
              <w:tc>
                <w:tcPr>
                  <w:tcW w:w="107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Narrow" w:hAnsi="Arial Narrow" w:eastAsia="Arial Narrow" w:cs="Arial Narrow"/>
                      <w:color w:val="auto"/>
                      <w:sz w:val="20"/>
                      <w:szCs w:val="20"/>
                      <w:highlight w:val="none"/>
                    </w:rPr>
                  </w:pP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Narrow" w:hAnsi="Arial Narrow" w:eastAsia="Arial Narrow" w:cs="Arial Narrow"/>
                      <w:color w:val="auto"/>
                      <w:sz w:val="20"/>
                      <w:szCs w:val="20"/>
                      <w:highlight w:val="none"/>
                    </w:rPr>
                  </w:pPr>
                </w:p>
              </w:tc>
              <w:tc>
                <w:tcPr>
                  <w:tcW w:w="104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 w:val="20"/>
                      <w:szCs w:val="20"/>
                      <w:highlight w:val="none"/>
                    </w:rPr>
                  </w:pPr>
                </w:p>
              </w:tc>
              <w:tc>
                <w:tcPr>
                  <w:tcW w:w="61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580" w:hRule="atLeast"/>
                <w:jc w:val="center"/>
              </w:trPr>
              <w:tc>
                <w:tcPr>
                  <w:tcW w:w="4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color w:val="auto"/>
                      <w:sz w:val="20"/>
                      <w:szCs w:val="20"/>
                      <w:highlight w:val="none"/>
                    </w:rPr>
                  </w:pPr>
                  <w:r>
                    <w:rPr>
                      <w:rFonts w:ascii="Arial Narrow" w:hAnsi="Arial Narrow" w:eastAsia="Arial Narrow" w:cs="Arial Narrow"/>
                      <w:color w:val="auto"/>
                      <w:sz w:val="20"/>
                      <w:szCs w:val="20"/>
                      <w:highlight w:val="none"/>
                      <w:lang w:bidi="ar"/>
                    </w:rPr>
                    <w:t>1</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卷材地板专用自流平</w:t>
                  </w:r>
                </w:p>
              </w:tc>
              <w:tc>
                <w:tcPr>
                  <w:tcW w:w="435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1.名称:卷材地板专用自流平</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2.基层:涂刷界面剂一道</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3.面层材料种类、厚度:卷材地板专用自流平3mm厚</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4.工作内容:清理基层、刷界面剂、调自流平砂浆,铺砂浆,滚压地面。</w:t>
                  </w:r>
                </w:p>
              </w:tc>
              <w:tc>
                <w:tcPr>
                  <w:tcW w:w="107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color w:val="auto"/>
                      <w:sz w:val="20"/>
                      <w:szCs w:val="20"/>
                      <w:highlight w:val="none"/>
                    </w:rPr>
                  </w:pPr>
                  <w:r>
                    <w:rPr>
                      <w:rFonts w:ascii="Arial Narrow" w:hAnsi="Arial Narrow" w:eastAsia="Arial Narrow" w:cs="Arial Narrow"/>
                      <w:color w:val="auto"/>
                      <w:sz w:val="20"/>
                      <w:szCs w:val="20"/>
                      <w:highlight w:val="none"/>
                      <w:lang w:bidi="ar"/>
                    </w:rPr>
                    <w:t>m2</w:t>
                  </w:r>
                </w:p>
              </w:tc>
              <w:tc>
                <w:tcPr>
                  <w:tcW w:w="10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ascii="宋体" w:hAnsi="宋体" w:cs="宋体"/>
                      <w:color w:val="auto"/>
                      <w:sz w:val="20"/>
                      <w:szCs w:val="20"/>
                      <w:highlight w:val="none"/>
                    </w:rPr>
                  </w:pPr>
                  <w:r>
                    <w:rPr>
                      <w:rFonts w:hint="eastAsia" w:ascii="宋体" w:hAnsi="宋体" w:eastAsia="宋体" w:cs="宋体"/>
                      <w:i w:val="0"/>
                      <w:iCs w:val="0"/>
                      <w:color w:val="000000"/>
                      <w:kern w:val="0"/>
                      <w:sz w:val="20"/>
                      <w:szCs w:val="20"/>
                      <w:u w:val="none"/>
                      <w:lang w:val="en-US" w:eastAsia="zh-CN" w:bidi="ar"/>
                    </w:rPr>
                    <w:t xml:space="preserve">4156.52 </w:t>
                  </w:r>
                </w:p>
              </w:tc>
              <w:tc>
                <w:tcPr>
                  <w:tcW w:w="61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800" w:hRule="atLeast"/>
                <w:jc w:val="center"/>
              </w:trPr>
              <w:tc>
                <w:tcPr>
                  <w:tcW w:w="4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color w:val="auto"/>
                      <w:sz w:val="20"/>
                      <w:szCs w:val="20"/>
                      <w:highlight w:val="none"/>
                    </w:rPr>
                  </w:pPr>
                  <w:r>
                    <w:rPr>
                      <w:rFonts w:ascii="Arial Narrow" w:hAnsi="Arial Narrow" w:eastAsia="Arial Narrow" w:cs="Arial Narrow"/>
                      <w:color w:val="auto"/>
                      <w:sz w:val="20"/>
                      <w:szCs w:val="20"/>
                      <w:highlight w:val="none"/>
                      <w:lang w:bidi="ar"/>
                    </w:rPr>
                    <w:t>2</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2mm厚的橡胶地材</w:t>
                  </w:r>
                </w:p>
              </w:tc>
              <w:tc>
                <w:tcPr>
                  <w:tcW w:w="435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1.名称:2mm厚的橡胶地材</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2.面层材料:2mm厚防静电、防滑、防潮、防火、防霉耐磨、耐腐蚀、易清洗同质透心</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3.粘贴剂:2mm厚的橡胶地材专用粘贴剂</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4.工作内容:清理基层、弹线、涂刷粘结剂、贴面层、收口、净面。</w:t>
                  </w:r>
                </w:p>
              </w:tc>
              <w:tc>
                <w:tcPr>
                  <w:tcW w:w="107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诺拉、阿迪科、盟多</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color w:val="auto"/>
                      <w:sz w:val="20"/>
                      <w:szCs w:val="20"/>
                      <w:highlight w:val="none"/>
                    </w:rPr>
                  </w:pPr>
                  <w:r>
                    <w:rPr>
                      <w:rFonts w:ascii="Arial Narrow" w:hAnsi="Arial Narrow" w:eastAsia="Arial Narrow" w:cs="Arial Narrow"/>
                      <w:color w:val="auto"/>
                      <w:sz w:val="20"/>
                      <w:szCs w:val="20"/>
                      <w:highlight w:val="none"/>
                      <w:lang w:bidi="ar"/>
                    </w:rPr>
                    <w:t>m2</w:t>
                  </w:r>
                </w:p>
              </w:tc>
              <w:tc>
                <w:tcPr>
                  <w:tcW w:w="10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ascii="宋体" w:hAnsi="宋体" w:cs="宋体"/>
                      <w:color w:val="auto"/>
                      <w:sz w:val="20"/>
                      <w:szCs w:val="20"/>
                      <w:highlight w:val="none"/>
                    </w:rPr>
                  </w:pPr>
                  <w:r>
                    <w:rPr>
                      <w:rFonts w:hint="eastAsia" w:ascii="宋体" w:hAnsi="宋体" w:eastAsia="宋体" w:cs="宋体"/>
                      <w:i w:val="0"/>
                      <w:iCs w:val="0"/>
                      <w:color w:val="000000"/>
                      <w:kern w:val="0"/>
                      <w:sz w:val="20"/>
                      <w:szCs w:val="20"/>
                      <w:u w:val="none"/>
                      <w:lang w:val="en-US" w:eastAsia="zh-CN" w:bidi="ar"/>
                    </w:rPr>
                    <w:t xml:space="preserve">780.33 </w:t>
                  </w:r>
                </w:p>
              </w:tc>
              <w:tc>
                <w:tcPr>
                  <w:tcW w:w="61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580" w:hRule="atLeast"/>
                <w:jc w:val="center"/>
              </w:trPr>
              <w:tc>
                <w:tcPr>
                  <w:tcW w:w="4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color w:val="auto"/>
                      <w:sz w:val="20"/>
                      <w:szCs w:val="20"/>
                      <w:highlight w:val="none"/>
                    </w:rPr>
                  </w:pPr>
                  <w:r>
                    <w:rPr>
                      <w:rFonts w:ascii="Arial Narrow" w:hAnsi="Arial Narrow" w:eastAsia="Arial Narrow" w:cs="Arial Narrow"/>
                      <w:color w:val="auto"/>
                      <w:sz w:val="20"/>
                      <w:szCs w:val="20"/>
                      <w:highlight w:val="none"/>
                      <w:lang w:bidi="ar"/>
                    </w:rPr>
                    <w:t>3</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同透PVC卷材地板</w:t>
                  </w:r>
                </w:p>
              </w:tc>
              <w:tc>
                <w:tcPr>
                  <w:tcW w:w="435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1.名称:同透PVC卷材地板</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2.面层材料:2mm厚防滑、防静电、抗菌、防火、耐腐蚀、耐磨的橡胶卷材地板</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3.粘贴剂:2mm厚的橡胶卷材</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4.工作内容:清理基层、弹线、涂刷粘结剂、贴面层、收口、净面。</w:t>
                  </w:r>
                </w:p>
              </w:tc>
              <w:tc>
                <w:tcPr>
                  <w:tcW w:w="107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洁福、阿姆斯壮、得嘉</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color w:val="auto"/>
                      <w:sz w:val="20"/>
                      <w:szCs w:val="20"/>
                      <w:highlight w:val="none"/>
                    </w:rPr>
                  </w:pPr>
                  <w:r>
                    <w:rPr>
                      <w:rFonts w:ascii="Arial Narrow" w:hAnsi="Arial Narrow" w:eastAsia="Arial Narrow" w:cs="Arial Narrow"/>
                      <w:color w:val="auto"/>
                      <w:sz w:val="20"/>
                      <w:szCs w:val="20"/>
                      <w:highlight w:val="none"/>
                      <w:lang w:bidi="ar"/>
                    </w:rPr>
                    <w:t>m2</w:t>
                  </w:r>
                </w:p>
              </w:tc>
              <w:tc>
                <w:tcPr>
                  <w:tcW w:w="10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ascii="宋体" w:hAnsi="宋体" w:cs="宋体"/>
                      <w:color w:val="auto"/>
                      <w:sz w:val="20"/>
                      <w:szCs w:val="20"/>
                      <w:highlight w:val="none"/>
                    </w:rPr>
                  </w:pPr>
                  <w:r>
                    <w:rPr>
                      <w:rFonts w:hint="eastAsia" w:ascii="宋体" w:hAnsi="宋体" w:eastAsia="宋体" w:cs="宋体"/>
                      <w:i w:val="0"/>
                      <w:iCs w:val="0"/>
                      <w:color w:val="000000"/>
                      <w:kern w:val="0"/>
                      <w:sz w:val="20"/>
                      <w:szCs w:val="20"/>
                      <w:u w:val="none"/>
                      <w:lang w:val="en-US" w:eastAsia="zh-CN" w:bidi="ar"/>
                    </w:rPr>
                    <w:t xml:space="preserve">3376.19 </w:t>
                  </w:r>
                </w:p>
              </w:tc>
              <w:tc>
                <w:tcPr>
                  <w:tcW w:w="61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680" w:hRule="atLeast"/>
                <w:jc w:val="center"/>
              </w:trPr>
              <w:tc>
                <w:tcPr>
                  <w:tcW w:w="4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color w:val="auto"/>
                      <w:sz w:val="20"/>
                      <w:szCs w:val="20"/>
                      <w:highlight w:val="none"/>
                    </w:rPr>
                  </w:pPr>
                  <w:r>
                    <w:rPr>
                      <w:rFonts w:ascii="Arial Narrow" w:hAnsi="Arial Narrow" w:eastAsia="Arial Narrow" w:cs="Arial Narrow"/>
                      <w:color w:val="auto"/>
                      <w:sz w:val="20"/>
                      <w:szCs w:val="20"/>
                      <w:highlight w:val="none"/>
                      <w:lang w:bidi="ar"/>
                    </w:rPr>
                    <w:t>4</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聚合物水泥基防水涂料</w:t>
                  </w:r>
                </w:p>
              </w:tc>
              <w:tc>
                <w:tcPr>
                  <w:tcW w:w="435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1.名称:聚合物水泥基防水涂料</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2.涂膜厚度:2.0厚</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3.保护材料种类:20mm厚水泥砂浆保护层</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4.反边高度:四周沿墙上翻300mm高</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5.工作内容:清理基层,调配及涂刷涂料；调运砂浆、抹平、压实。</w:t>
                  </w:r>
                </w:p>
              </w:tc>
              <w:tc>
                <w:tcPr>
                  <w:tcW w:w="107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金雨伞、星月旺、禹王</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color w:val="auto"/>
                      <w:sz w:val="20"/>
                      <w:szCs w:val="20"/>
                      <w:highlight w:val="none"/>
                    </w:rPr>
                  </w:pPr>
                  <w:r>
                    <w:rPr>
                      <w:rFonts w:ascii="Arial Narrow" w:hAnsi="Arial Narrow" w:eastAsia="Arial Narrow" w:cs="Arial Narrow"/>
                      <w:color w:val="auto"/>
                      <w:sz w:val="20"/>
                      <w:szCs w:val="20"/>
                      <w:highlight w:val="none"/>
                      <w:lang w:bidi="ar"/>
                    </w:rPr>
                    <w:t>m2</w:t>
                  </w:r>
                </w:p>
              </w:tc>
              <w:tc>
                <w:tcPr>
                  <w:tcW w:w="10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ascii="宋体" w:hAnsi="宋体" w:cs="宋体"/>
                      <w:color w:val="auto"/>
                      <w:sz w:val="20"/>
                      <w:szCs w:val="20"/>
                      <w:highlight w:val="none"/>
                    </w:rPr>
                  </w:pPr>
                  <w:r>
                    <w:rPr>
                      <w:rFonts w:hint="eastAsia" w:ascii="宋体" w:hAnsi="宋体" w:eastAsia="宋体" w:cs="宋体"/>
                      <w:i w:val="0"/>
                      <w:iCs w:val="0"/>
                      <w:color w:val="000000"/>
                      <w:kern w:val="0"/>
                      <w:sz w:val="20"/>
                      <w:szCs w:val="20"/>
                      <w:u w:val="none"/>
                      <w:lang w:val="en-US" w:eastAsia="zh-CN" w:bidi="ar"/>
                    </w:rPr>
                    <w:t xml:space="preserve">74.26 </w:t>
                  </w:r>
                </w:p>
              </w:tc>
              <w:tc>
                <w:tcPr>
                  <w:tcW w:w="61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875" w:hRule="atLeast"/>
                <w:jc w:val="center"/>
              </w:trPr>
              <w:tc>
                <w:tcPr>
                  <w:tcW w:w="4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color w:val="auto"/>
                      <w:sz w:val="20"/>
                      <w:szCs w:val="20"/>
                      <w:highlight w:val="none"/>
                    </w:rPr>
                  </w:pPr>
                  <w:r>
                    <w:rPr>
                      <w:rFonts w:ascii="Arial Narrow" w:hAnsi="Arial Narrow" w:eastAsia="Arial Narrow" w:cs="Arial Narrow"/>
                      <w:color w:val="auto"/>
                      <w:sz w:val="20"/>
                      <w:szCs w:val="20"/>
                      <w:highlight w:val="none"/>
                      <w:lang w:bidi="ar"/>
                    </w:rPr>
                    <w:t>5</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地砖地面</w:t>
                  </w:r>
                </w:p>
              </w:tc>
              <w:tc>
                <w:tcPr>
                  <w:tcW w:w="435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1.名称:地砖地面</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2.结合层厚度、砂浆配合比:1:3干硬性水泥砂浆结合层40mm厚</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3.面层材料、规格:防滑地面砖300*300mm</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4.嵌缝材料种类:专用瓷砖密封剂勾缝</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5.工作内容:清理基层、试排弹线、锯板修边、铺抹结合层、铺贴饰面、勾缝、清理净面。</w:t>
                  </w:r>
                </w:p>
              </w:tc>
              <w:tc>
                <w:tcPr>
                  <w:tcW w:w="107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马可波罗、亚细亚、东鹏、蒙娜丽莎</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color w:val="auto"/>
                      <w:sz w:val="20"/>
                      <w:szCs w:val="20"/>
                      <w:highlight w:val="none"/>
                    </w:rPr>
                  </w:pPr>
                  <w:r>
                    <w:rPr>
                      <w:rFonts w:ascii="Arial Narrow" w:hAnsi="Arial Narrow" w:eastAsia="Arial Narrow" w:cs="Arial Narrow"/>
                      <w:color w:val="auto"/>
                      <w:sz w:val="20"/>
                      <w:szCs w:val="20"/>
                      <w:highlight w:val="none"/>
                      <w:lang w:bidi="ar"/>
                    </w:rPr>
                    <w:t>m2</w:t>
                  </w:r>
                </w:p>
              </w:tc>
              <w:tc>
                <w:tcPr>
                  <w:tcW w:w="10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ascii="宋体" w:hAnsi="宋体" w:cs="宋体"/>
                      <w:color w:val="auto"/>
                      <w:sz w:val="20"/>
                      <w:szCs w:val="20"/>
                      <w:highlight w:val="none"/>
                    </w:rPr>
                  </w:pPr>
                  <w:r>
                    <w:rPr>
                      <w:rFonts w:hint="eastAsia" w:ascii="宋体" w:hAnsi="宋体" w:eastAsia="宋体" w:cs="宋体"/>
                      <w:i w:val="0"/>
                      <w:iCs w:val="0"/>
                      <w:color w:val="000000"/>
                      <w:kern w:val="0"/>
                      <w:sz w:val="20"/>
                      <w:szCs w:val="20"/>
                      <w:u w:val="none"/>
                      <w:lang w:val="en-US" w:eastAsia="zh-CN" w:bidi="ar"/>
                    </w:rPr>
                    <w:t xml:space="preserve">74.26 </w:t>
                  </w:r>
                </w:p>
              </w:tc>
              <w:tc>
                <w:tcPr>
                  <w:tcW w:w="61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780" w:hRule="atLeast"/>
                <w:jc w:val="center"/>
              </w:trPr>
              <w:tc>
                <w:tcPr>
                  <w:tcW w:w="4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Arial Narrow" w:hAnsi="Arial Narrow" w:eastAsia="宋体" w:cs="Arial Narrow"/>
                      <w:color w:val="auto"/>
                      <w:sz w:val="20"/>
                      <w:szCs w:val="20"/>
                      <w:highlight w:val="none"/>
                      <w:lang w:eastAsia="zh-CN"/>
                    </w:rPr>
                  </w:pPr>
                  <w:r>
                    <w:rPr>
                      <w:rFonts w:hint="eastAsia" w:ascii="Arial Narrow" w:hAnsi="Arial Narrow" w:cs="Arial Narrow"/>
                      <w:color w:val="auto"/>
                      <w:sz w:val="20"/>
                      <w:szCs w:val="20"/>
                      <w:highlight w:val="none"/>
                      <w:lang w:val="en-US" w:eastAsia="zh-CN" w:bidi="ar"/>
                    </w:rPr>
                    <w:t>6</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卷材踢脚线</w:t>
                  </w:r>
                </w:p>
              </w:tc>
              <w:tc>
                <w:tcPr>
                  <w:tcW w:w="435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1.名称：PVC卷材踢脚线</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2.规格：水泥造型R40，100mm高</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3.工作内容：清理基层、安装踢脚线</w:t>
                  </w:r>
                </w:p>
              </w:tc>
              <w:tc>
                <w:tcPr>
                  <w:tcW w:w="107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洁福、阿姆斯壮、得嘉</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color w:val="auto"/>
                      <w:sz w:val="20"/>
                      <w:szCs w:val="20"/>
                      <w:highlight w:val="none"/>
                    </w:rPr>
                  </w:pPr>
                  <w:r>
                    <w:rPr>
                      <w:rFonts w:ascii="Arial Narrow" w:hAnsi="Arial Narrow" w:eastAsia="Arial Narrow" w:cs="Arial Narrow"/>
                      <w:color w:val="auto"/>
                      <w:sz w:val="20"/>
                      <w:szCs w:val="20"/>
                      <w:highlight w:val="none"/>
                      <w:lang w:bidi="ar"/>
                    </w:rPr>
                    <w:t>m2</w:t>
                  </w:r>
                </w:p>
              </w:tc>
              <w:tc>
                <w:tcPr>
                  <w:tcW w:w="10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ascii="宋体" w:hAnsi="宋体" w:cs="宋体"/>
                      <w:color w:val="auto"/>
                      <w:sz w:val="20"/>
                      <w:szCs w:val="20"/>
                      <w:highlight w:val="none"/>
                    </w:rPr>
                  </w:pPr>
                  <w:r>
                    <w:rPr>
                      <w:rFonts w:hint="eastAsia" w:ascii="宋体" w:hAnsi="宋体" w:eastAsia="宋体" w:cs="宋体"/>
                      <w:i w:val="0"/>
                      <w:iCs w:val="0"/>
                      <w:color w:val="000000"/>
                      <w:kern w:val="0"/>
                      <w:sz w:val="20"/>
                      <w:szCs w:val="20"/>
                      <w:u w:val="none"/>
                      <w:lang w:val="en-US" w:eastAsia="zh-CN" w:bidi="ar"/>
                    </w:rPr>
                    <w:t xml:space="preserve">273.30 </w:t>
                  </w:r>
                </w:p>
              </w:tc>
              <w:tc>
                <w:tcPr>
                  <w:tcW w:w="61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780" w:hRule="atLeast"/>
                <w:jc w:val="center"/>
              </w:trPr>
              <w:tc>
                <w:tcPr>
                  <w:tcW w:w="4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Arial Narrow" w:hAnsi="Arial Narrow" w:eastAsia="宋体" w:cs="Arial Narrow"/>
                      <w:color w:val="auto"/>
                      <w:sz w:val="20"/>
                      <w:szCs w:val="20"/>
                      <w:highlight w:val="none"/>
                      <w:lang w:eastAsia="zh-CN"/>
                    </w:rPr>
                  </w:pPr>
                  <w:r>
                    <w:rPr>
                      <w:rFonts w:hint="eastAsia" w:ascii="Arial Narrow" w:hAnsi="Arial Narrow" w:cs="Arial Narrow"/>
                      <w:color w:val="auto"/>
                      <w:sz w:val="20"/>
                      <w:szCs w:val="20"/>
                      <w:highlight w:val="none"/>
                      <w:lang w:val="en-US" w:eastAsia="zh-CN" w:bidi="ar"/>
                    </w:rPr>
                    <w:t>7</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石材零星项目</w:t>
                  </w:r>
                </w:p>
              </w:tc>
              <w:tc>
                <w:tcPr>
                  <w:tcW w:w="435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1.名称：门槛石</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2.规格：20m厚人造石</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3.工作内容：调运砂浆、锯板磨边、镶贴石材等。</w:t>
                  </w:r>
                </w:p>
              </w:tc>
              <w:tc>
                <w:tcPr>
                  <w:tcW w:w="107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color w:val="auto"/>
                      <w:sz w:val="20"/>
                      <w:szCs w:val="20"/>
                      <w:highlight w:val="none"/>
                    </w:rPr>
                  </w:pPr>
                  <w:r>
                    <w:rPr>
                      <w:rFonts w:ascii="Arial Narrow" w:hAnsi="Arial Narrow" w:eastAsia="Arial Narrow" w:cs="Arial Narrow"/>
                      <w:color w:val="auto"/>
                      <w:sz w:val="20"/>
                      <w:szCs w:val="20"/>
                      <w:highlight w:val="none"/>
                      <w:lang w:bidi="ar"/>
                    </w:rPr>
                    <w:t>m2</w:t>
                  </w:r>
                </w:p>
              </w:tc>
              <w:tc>
                <w:tcPr>
                  <w:tcW w:w="10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ascii="宋体" w:hAnsi="宋体" w:cs="宋体"/>
                      <w:color w:val="auto"/>
                      <w:sz w:val="20"/>
                      <w:szCs w:val="20"/>
                      <w:highlight w:val="none"/>
                    </w:rPr>
                  </w:pPr>
                  <w:r>
                    <w:rPr>
                      <w:rFonts w:hint="eastAsia" w:ascii="宋体" w:hAnsi="宋体" w:eastAsia="宋体" w:cs="宋体"/>
                      <w:i w:val="0"/>
                      <w:iCs w:val="0"/>
                      <w:color w:val="000000"/>
                      <w:kern w:val="0"/>
                      <w:sz w:val="20"/>
                      <w:szCs w:val="20"/>
                      <w:u w:val="none"/>
                      <w:lang w:val="en-US" w:eastAsia="zh-CN" w:bidi="ar"/>
                    </w:rPr>
                    <w:t xml:space="preserve">1.54 </w:t>
                  </w:r>
                </w:p>
              </w:tc>
              <w:tc>
                <w:tcPr>
                  <w:tcW w:w="61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621" w:hRule="atLeast"/>
                <w:jc w:val="center"/>
              </w:trPr>
              <w:tc>
                <w:tcPr>
                  <w:tcW w:w="4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bCs/>
                      <w:color w:val="auto"/>
                      <w:sz w:val="20"/>
                      <w:szCs w:val="20"/>
                      <w:highlight w:val="none"/>
                    </w:rPr>
                  </w:pPr>
                  <w:r>
                    <w:rPr>
                      <w:rFonts w:hint="eastAsia" w:ascii="宋体" w:hAnsi="宋体" w:cs="宋体"/>
                      <w:b/>
                      <w:bCs/>
                      <w:color w:val="auto"/>
                      <w:sz w:val="20"/>
                      <w:szCs w:val="20"/>
                      <w:highlight w:val="none"/>
                      <w:lang w:bidi="ar"/>
                    </w:rPr>
                    <w:t>二</w:t>
                  </w:r>
                </w:p>
              </w:tc>
              <w:tc>
                <w:tcPr>
                  <w:tcW w:w="514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Arial Narrow" w:hAnsi="Arial Narrow" w:eastAsia="Arial Narrow" w:cs="Arial Narrow"/>
                      <w:color w:val="auto"/>
                      <w:sz w:val="20"/>
                      <w:szCs w:val="20"/>
                      <w:highlight w:val="none"/>
                    </w:rPr>
                  </w:pPr>
                  <w:r>
                    <w:rPr>
                      <w:rFonts w:hint="eastAsia" w:ascii="宋体" w:hAnsi="宋体" w:cs="宋体"/>
                      <w:b/>
                      <w:bCs/>
                      <w:color w:val="auto"/>
                      <w:sz w:val="20"/>
                      <w:szCs w:val="20"/>
                      <w:highlight w:val="none"/>
                      <w:lang w:bidi="ar"/>
                    </w:rPr>
                    <w:t xml:space="preserve"> 墙面工程 </w:t>
                  </w:r>
                </w:p>
              </w:tc>
              <w:tc>
                <w:tcPr>
                  <w:tcW w:w="107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 w:val="20"/>
                      <w:szCs w:val="20"/>
                      <w:highlight w:val="none"/>
                    </w:rPr>
                  </w:pP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Narrow" w:hAnsi="Arial Narrow" w:eastAsia="Arial Narrow" w:cs="Arial Narrow"/>
                      <w:color w:val="auto"/>
                      <w:sz w:val="20"/>
                      <w:szCs w:val="20"/>
                      <w:highlight w:val="none"/>
                    </w:rPr>
                  </w:pPr>
                </w:p>
              </w:tc>
              <w:tc>
                <w:tcPr>
                  <w:tcW w:w="10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auto"/>
                      <w:sz w:val="20"/>
                      <w:szCs w:val="20"/>
                      <w:highlight w:val="none"/>
                    </w:rPr>
                  </w:pPr>
                </w:p>
              </w:tc>
              <w:tc>
                <w:tcPr>
                  <w:tcW w:w="6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120" w:hRule="atLeast"/>
                <w:jc w:val="center"/>
              </w:trPr>
              <w:tc>
                <w:tcPr>
                  <w:tcW w:w="4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color w:val="auto"/>
                      <w:sz w:val="20"/>
                      <w:szCs w:val="20"/>
                      <w:highlight w:val="none"/>
                    </w:rPr>
                  </w:pPr>
                  <w:r>
                    <w:rPr>
                      <w:rFonts w:ascii="Arial Narrow" w:hAnsi="Arial Narrow" w:eastAsia="Arial Narrow" w:cs="Arial Narrow"/>
                      <w:color w:val="auto"/>
                      <w:sz w:val="20"/>
                      <w:szCs w:val="20"/>
                      <w:highlight w:val="none"/>
                      <w:lang w:bidi="ar"/>
                    </w:rPr>
                    <w:t>1</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墙面轻钢龙骨</w:t>
                  </w:r>
                </w:p>
              </w:tc>
              <w:tc>
                <w:tcPr>
                  <w:tcW w:w="435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1.名称：墙面轻钢龙骨</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2.规格：75型</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3.工作内容：基层清理,定位,弹线,钻眼、安膨胀螺栓、安装龙骨。</w:t>
                  </w:r>
                </w:p>
              </w:tc>
              <w:tc>
                <w:tcPr>
                  <w:tcW w:w="107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杰森、雪丰、宝欣</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color w:val="auto"/>
                      <w:sz w:val="20"/>
                      <w:szCs w:val="20"/>
                      <w:highlight w:val="none"/>
                    </w:rPr>
                  </w:pPr>
                  <w:r>
                    <w:rPr>
                      <w:rFonts w:ascii="Arial Narrow" w:hAnsi="Arial Narrow" w:eastAsia="Arial Narrow" w:cs="Arial Narrow"/>
                      <w:color w:val="auto"/>
                      <w:sz w:val="20"/>
                      <w:szCs w:val="20"/>
                      <w:highlight w:val="none"/>
                      <w:lang w:bidi="ar"/>
                    </w:rPr>
                    <w:t>m2</w:t>
                  </w:r>
                </w:p>
              </w:tc>
              <w:tc>
                <w:tcPr>
                  <w:tcW w:w="10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ascii="宋体" w:hAnsi="宋体" w:cs="宋体"/>
                      <w:color w:val="auto"/>
                      <w:sz w:val="20"/>
                      <w:szCs w:val="20"/>
                      <w:highlight w:val="none"/>
                    </w:rPr>
                  </w:pPr>
                  <w:r>
                    <w:rPr>
                      <w:rFonts w:hint="eastAsia" w:ascii="宋体" w:hAnsi="宋体" w:eastAsia="宋体" w:cs="宋体"/>
                      <w:i w:val="0"/>
                      <w:iCs w:val="0"/>
                      <w:color w:val="000000"/>
                      <w:kern w:val="0"/>
                      <w:sz w:val="20"/>
                      <w:szCs w:val="20"/>
                      <w:u w:val="none"/>
                      <w:lang w:val="en-US" w:eastAsia="zh-CN" w:bidi="ar"/>
                    </w:rPr>
                    <w:t xml:space="preserve">10419.76 </w:t>
                  </w:r>
                </w:p>
              </w:tc>
              <w:tc>
                <w:tcPr>
                  <w:tcW w:w="61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999" w:hRule="atLeast"/>
                <w:jc w:val="center"/>
              </w:trPr>
              <w:tc>
                <w:tcPr>
                  <w:tcW w:w="4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color w:val="auto"/>
                      <w:sz w:val="20"/>
                      <w:szCs w:val="20"/>
                      <w:highlight w:val="none"/>
                    </w:rPr>
                  </w:pPr>
                  <w:r>
                    <w:rPr>
                      <w:rFonts w:ascii="Arial Narrow" w:hAnsi="Arial Narrow" w:eastAsia="Arial Narrow" w:cs="Arial Narrow"/>
                      <w:color w:val="auto"/>
                      <w:sz w:val="20"/>
                      <w:szCs w:val="20"/>
                      <w:highlight w:val="none"/>
                      <w:lang w:bidi="ar"/>
                    </w:rPr>
                    <w:t>2</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纸面石膏板</w:t>
                  </w:r>
                </w:p>
              </w:tc>
              <w:tc>
                <w:tcPr>
                  <w:tcW w:w="435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1.名称：双层纸面石膏板</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2.规格:12mm厚</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3.工作内容：清理基层、钉或铺贴基层。</w:t>
                  </w:r>
                </w:p>
              </w:tc>
              <w:tc>
                <w:tcPr>
                  <w:tcW w:w="107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杰森、雪丰、宝欣</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color w:val="auto"/>
                      <w:sz w:val="20"/>
                      <w:szCs w:val="20"/>
                      <w:highlight w:val="none"/>
                    </w:rPr>
                  </w:pPr>
                  <w:r>
                    <w:rPr>
                      <w:rFonts w:ascii="Arial Narrow" w:hAnsi="Arial Narrow" w:eastAsia="Arial Narrow" w:cs="Arial Narrow"/>
                      <w:color w:val="auto"/>
                      <w:sz w:val="20"/>
                      <w:szCs w:val="20"/>
                      <w:highlight w:val="none"/>
                      <w:lang w:bidi="ar"/>
                    </w:rPr>
                    <w:t>m2</w:t>
                  </w:r>
                </w:p>
              </w:tc>
              <w:tc>
                <w:tcPr>
                  <w:tcW w:w="10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ascii="宋体" w:hAnsi="宋体" w:cs="宋体"/>
                      <w:color w:val="auto"/>
                      <w:sz w:val="20"/>
                      <w:szCs w:val="20"/>
                      <w:highlight w:val="none"/>
                    </w:rPr>
                  </w:pPr>
                  <w:r>
                    <w:rPr>
                      <w:rFonts w:hint="eastAsia" w:ascii="宋体" w:hAnsi="宋体" w:eastAsia="宋体" w:cs="宋体"/>
                      <w:i w:val="0"/>
                      <w:iCs w:val="0"/>
                      <w:color w:val="000000"/>
                      <w:kern w:val="0"/>
                      <w:sz w:val="20"/>
                      <w:szCs w:val="20"/>
                      <w:u w:val="none"/>
                      <w:lang w:val="en-US" w:eastAsia="zh-CN" w:bidi="ar"/>
                    </w:rPr>
                    <w:t xml:space="preserve">9498.43 </w:t>
                  </w:r>
                </w:p>
              </w:tc>
              <w:tc>
                <w:tcPr>
                  <w:tcW w:w="61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350" w:hRule="atLeast"/>
                <w:jc w:val="center"/>
              </w:trPr>
              <w:tc>
                <w:tcPr>
                  <w:tcW w:w="4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color w:val="auto"/>
                      <w:sz w:val="20"/>
                      <w:szCs w:val="20"/>
                      <w:highlight w:val="none"/>
                    </w:rPr>
                  </w:pPr>
                  <w:r>
                    <w:rPr>
                      <w:rFonts w:ascii="Arial Narrow" w:hAnsi="Arial Narrow" w:eastAsia="Arial Narrow" w:cs="Arial Narrow"/>
                      <w:color w:val="auto"/>
                      <w:sz w:val="20"/>
                      <w:szCs w:val="20"/>
                      <w:highlight w:val="none"/>
                      <w:lang w:bidi="ar"/>
                    </w:rPr>
                    <w:t>3</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墙面洁菌板（砖墙为基层）</w:t>
                  </w:r>
                </w:p>
              </w:tc>
              <w:tc>
                <w:tcPr>
                  <w:tcW w:w="435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1.名称：墙面洁菌板（包含金属收边条）</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2.规格：6mm厚</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3.工作内容：清理基层、钉或铺贴面层；板缝采用抗菌防霉洁净专用密封胶处理,保证气密性、清理净面等。</w:t>
                  </w:r>
                </w:p>
              </w:tc>
              <w:tc>
                <w:tcPr>
                  <w:tcW w:w="107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富美家、森旺、威盛亚</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color w:val="auto"/>
                      <w:sz w:val="20"/>
                      <w:szCs w:val="20"/>
                      <w:highlight w:val="none"/>
                    </w:rPr>
                  </w:pPr>
                  <w:r>
                    <w:rPr>
                      <w:rFonts w:ascii="Arial Narrow" w:hAnsi="Arial Narrow" w:eastAsia="Arial Narrow" w:cs="Arial Narrow"/>
                      <w:color w:val="auto"/>
                      <w:sz w:val="20"/>
                      <w:szCs w:val="20"/>
                      <w:highlight w:val="none"/>
                      <w:lang w:bidi="ar"/>
                    </w:rPr>
                    <w:t>m2</w:t>
                  </w:r>
                </w:p>
              </w:tc>
              <w:tc>
                <w:tcPr>
                  <w:tcW w:w="10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ascii="宋体" w:hAnsi="宋体" w:cs="宋体"/>
                      <w:color w:val="auto"/>
                      <w:sz w:val="20"/>
                      <w:szCs w:val="20"/>
                      <w:highlight w:val="none"/>
                    </w:rPr>
                  </w:pPr>
                  <w:r>
                    <w:rPr>
                      <w:rFonts w:hint="eastAsia" w:ascii="宋体" w:hAnsi="宋体" w:eastAsia="宋体" w:cs="宋体"/>
                      <w:i w:val="0"/>
                      <w:iCs w:val="0"/>
                      <w:color w:val="000000"/>
                      <w:kern w:val="0"/>
                      <w:sz w:val="20"/>
                      <w:szCs w:val="20"/>
                      <w:u w:val="none"/>
                      <w:lang w:val="en-US" w:eastAsia="zh-CN" w:bidi="ar"/>
                    </w:rPr>
                    <w:t xml:space="preserve">5792.21 </w:t>
                  </w:r>
                </w:p>
              </w:tc>
              <w:tc>
                <w:tcPr>
                  <w:tcW w:w="61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540" w:hRule="atLeast"/>
                <w:jc w:val="center"/>
              </w:trPr>
              <w:tc>
                <w:tcPr>
                  <w:tcW w:w="4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color w:val="auto"/>
                      <w:sz w:val="20"/>
                      <w:szCs w:val="20"/>
                      <w:highlight w:val="none"/>
                    </w:rPr>
                  </w:pPr>
                  <w:r>
                    <w:rPr>
                      <w:rFonts w:ascii="Arial Narrow" w:hAnsi="Arial Narrow" w:eastAsia="Arial Narrow" w:cs="Arial Narrow"/>
                      <w:color w:val="auto"/>
                      <w:sz w:val="20"/>
                      <w:szCs w:val="20"/>
                      <w:highlight w:val="none"/>
                      <w:lang w:bidi="ar"/>
                    </w:rPr>
                    <w:t>4</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墙面不锈钢板</w:t>
                  </w:r>
                </w:p>
              </w:tc>
              <w:tc>
                <w:tcPr>
                  <w:tcW w:w="435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1.名称：不锈钢板</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2.规格：1.2mm厚</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3.工作内容：清理基层、钉或铺贴面层；专用粘结剂粘结于硅酸钙板背衬板，12mm石膏板作背板，同自攻螺丝固定到龙骨上，30*50方管龙骨等。</w:t>
                  </w:r>
                </w:p>
              </w:tc>
              <w:tc>
                <w:tcPr>
                  <w:tcW w:w="107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color w:val="auto"/>
                      <w:sz w:val="20"/>
                      <w:szCs w:val="20"/>
                      <w:highlight w:val="none"/>
                    </w:rPr>
                  </w:pPr>
                  <w:r>
                    <w:rPr>
                      <w:rFonts w:ascii="Arial Narrow" w:hAnsi="Arial Narrow" w:eastAsia="Arial Narrow" w:cs="Arial Narrow"/>
                      <w:color w:val="auto"/>
                      <w:sz w:val="20"/>
                      <w:szCs w:val="20"/>
                      <w:highlight w:val="none"/>
                      <w:lang w:bidi="ar"/>
                    </w:rPr>
                    <w:t>m2</w:t>
                  </w:r>
                </w:p>
              </w:tc>
              <w:tc>
                <w:tcPr>
                  <w:tcW w:w="10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ascii="宋体" w:hAnsi="宋体" w:cs="宋体"/>
                      <w:color w:val="auto"/>
                      <w:sz w:val="20"/>
                      <w:szCs w:val="20"/>
                      <w:highlight w:val="none"/>
                    </w:rPr>
                  </w:pPr>
                  <w:r>
                    <w:rPr>
                      <w:rFonts w:hint="eastAsia" w:ascii="宋体" w:hAnsi="宋体" w:eastAsia="宋体" w:cs="宋体"/>
                      <w:i w:val="0"/>
                      <w:iCs w:val="0"/>
                      <w:color w:val="000000"/>
                      <w:kern w:val="0"/>
                      <w:sz w:val="20"/>
                      <w:szCs w:val="20"/>
                      <w:u w:val="none"/>
                      <w:lang w:val="en-US" w:eastAsia="zh-CN" w:bidi="ar"/>
                    </w:rPr>
                    <w:t xml:space="preserve">34.56 </w:t>
                  </w:r>
                </w:p>
              </w:tc>
              <w:tc>
                <w:tcPr>
                  <w:tcW w:w="61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059" w:hRule="atLeast"/>
                <w:jc w:val="center"/>
              </w:trPr>
              <w:tc>
                <w:tcPr>
                  <w:tcW w:w="4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color w:val="auto"/>
                      <w:sz w:val="20"/>
                      <w:szCs w:val="20"/>
                      <w:highlight w:val="none"/>
                    </w:rPr>
                  </w:pPr>
                  <w:r>
                    <w:rPr>
                      <w:rFonts w:ascii="Arial Narrow" w:hAnsi="Arial Narrow" w:eastAsia="Arial Narrow" w:cs="Arial Narrow"/>
                      <w:color w:val="auto"/>
                      <w:sz w:val="20"/>
                      <w:szCs w:val="20"/>
                      <w:highlight w:val="none"/>
                      <w:lang w:bidi="ar"/>
                    </w:rPr>
                    <w:t>5</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墙面抗菌涂料</w:t>
                  </w:r>
                </w:p>
              </w:tc>
              <w:tc>
                <w:tcPr>
                  <w:tcW w:w="435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1.名称：墙面抗菌涂料</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2.规格：刮腻子3道+抗菌涂料3遍，与产品配套腻子满刮三遍,砂纸磨光。喷涂抗菌涂料。</w:t>
                  </w:r>
                </w:p>
              </w:tc>
              <w:tc>
                <w:tcPr>
                  <w:tcW w:w="107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嘉宝莉、天天晴、厦光漆</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color w:val="auto"/>
                      <w:sz w:val="20"/>
                      <w:szCs w:val="20"/>
                      <w:highlight w:val="none"/>
                    </w:rPr>
                  </w:pPr>
                  <w:r>
                    <w:rPr>
                      <w:rFonts w:ascii="Arial Narrow" w:hAnsi="Arial Narrow" w:eastAsia="Arial Narrow" w:cs="Arial Narrow"/>
                      <w:color w:val="auto"/>
                      <w:sz w:val="20"/>
                      <w:szCs w:val="20"/>
                      <w:highlight w:val="none"/>
                      <w:lang w:bidi="ar"/>
                    </w:rPr>
                    <w:t>m2</w:t>
                  </w:r>
                </w:p>
              </w:tc>
              <w:tc>
                <w:tcPr>
                  <w:tcW w:w="10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ascii="宋体" w:hAnsi="宋体" w:cs="宋体"/>
                      <w:color w:val="auto"/>
                      <w:sz w:val="20"/>
                      <w:szCs w:val="20"/>
                      <w:highlight w:val="none"/>
                    </w:rPr>
                  </w:pPr>
                  <w:r>
                    <w:rPr>
                      <w:rFonts w:hint="eastAsia" w:ascii="宋体" w:hAnsi="宋体" w:eastAsia="宋体" w:cs="宋体"/>
                      <w:i w:val="0"/>
                      <w:iCs w:val="0"/>
                      <w:color w:val="000000"/>
                      <w:kern w:val="0"/>
                      <w:sz w:val="20"/>
                      <w:szCs w:val="20"/>
                      <w:u w:val="none"/>
                      <w:lang w:val="en-US" w:eastAsia="zh-CN" w:bidi="ar"/>
                    </w:rPr>
                    <w:t xml:space="preserve">642.30 </w:t>
                  </w:r>
                </w:p>
              </w:tc>
              <w:tc>
                <w:tcPr>
                  <w:tcW w:w="61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140" w:hRule="atLeast"/>
                <w:jc w:val="center"/>
              </w:trPr>
              <w:tc>
                <w:tcPr>
                  <w:tcW w:w="4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color w:val="auto"/>
                      <w:sz w:val="20"/>
                      <w:szCs w:val="20"/>
                      <w:highlight w:val="none"/>
                    </w:rPr>
                  </w:pPr>
                  <w:r>
                    <w:rPr>
                      <w:rFonts w:ascii="Arial Narrow" w:hAnsi="Arial Narrow" w:eastAsia="Arial Narrow" w:cs="Arial Narrow"/>
                      <w:color w:val="auto"/>
                      <w:sz w:val="20"/>
                      <w:szCs w:val="20"/>
                      <w:highlight w:val="none"/>
                      <w:lang w:bidi="ar"/>
                    </w:rPr>
                    <w:t>6</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墙面方钢龙骨</w:t>
                  </w:r>
                </w:p>
              </w:tc>
              <w:tc>
                <w:tcPr>
                  <w:tcW w:w="435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1.名称：墙面方管龙骨</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2.规格：30*50</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3.工作内容：基层清理,定位,弹线,钻眼、安膨胀螺栓、安装龙骨。</w:t>
                  </w:r>
                </w:p>
              </w:tc>
              <w:tc>
                <w:tcPr>
                  <w:tcW w:w="107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杰森、雪丰、宝欣</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color w:val="auto"/>
                      <w:sz w:val="20"/>
                      <w:szCs w:val="20"/>
                      <w:highlight w:val="none"/>
                    </w:rPr>
                  </w:pPr>
                  <w:r>
                    <w:rPr>
                      <w:rFonts w:ascii="Arial Narrow" w:hAnsi="Arial Narrow" w:eastAsia="Arial Narrow" w:cs="Arial Narrow"/>
                      <w:color w:val="auto"/>
                      <w:sz w:val="20"/>
                      <w:szCs w:val="20"/>
                      <w:highlight w:val="none"/>
                      <w:lang w:bidi="ar"/>
                    </w:rPr>
                    <w:t>m2</w:t>
                  </w:r>
                </w:p>
              </w:tc>
              <w:tc>
                <w:tcPr>
                  <w:tcW w:w="10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ascii="宋体" w:hAnsi="宋体" w:cs="宋体"/>
                      <w:color w:val="auto"/>
                      <w:sz w:val="20"/>
                      <w:szCs w:val="20"/>
                      <w:highlight w:val="none"/>
                    </w:rPr>
                  </w:pPr>
                  <w:r>
                    <w:rPr>
                      <w:rFonts w:hint="eastAsia" w:ascii="宋体" w:hAnsi="宋体" w:eastAsia="宋体" w:cs="宋体"/>
                      <w:i w:val="0"/>
                      <w:iCs w:val="0"/>
                      <w:color w:val="000000"/>
                      <w:kern w:val="0"/>
                      <w:sz w:val="20"/>
                      <w:szCs w:val="20"/>
                      <w:u w:val="none"/>
                      <w:lang w:val="en-US" w:eastAsia="zh-CN" w:bidi="ar"/>
                    </w:rPr>
                    <w:t xml:space="preserve">2381.94 </w:t>
                  </w:r>
                </w:p>
              </w:tc>
              <w:tc>
                <w:tcPr>
                  <w:tcW w:w="61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875" w:hRule="atLeast"/>
                <w:jc w:val="center"/>
              </w:trPr>
              <w:tc>
                <w:tcPr>
                  <w:tcW w:w="4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color w:val="auto"/>
                      <w:sz w:val="20"/>
                      <w:szCs w:val="20"/>
                      <w:highlight w:val="none"/>
                    </w:rPr>
                  </w:pPr>
                  <w:r>
                    <w:rPr>
                      <w:rFonts w:ascii="Arial Narrow" w:hAnsi="Arial Narrow" w:eastAsia="Arial Narrow" w:cs="Arial Narrow"/>
                      <w:color w:val="auto"/>
                      <w:sz w:val="20"/>
                      <w:szCs w:val="20"/>
                      <w:highlight w:val="none"/>
                      <w:lang w:bidi="ar"/>
                    </w:rPr>
                    <w:t>7</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医疗电解钢板墙面</w:t>
                  </w:r>
                </w:p>
              </w:tc>
              <w:tc>
                <w:tcPr>
                  <w:tcW w:w="435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1.名称：墙面医疗电解钢板</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2.规格:1.2mm厚；工厂成品医用电解钢板(已采用高温高压进行喷涂抗菌漆）。</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3.工作内容：清理基层、采用专用干挂连接件固定于龙骨上，板缝采用抗菌防霉手术室专用耐候硅胶处理,保证气密性、清理净面等。</w:t>
                  </w:r>
                </w:p>
              </w:tc>
              <w:tc>
                <w:tcPr>
                  <w:tcW w:w="107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加工厂：浩东、智迪锐、铭铉</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color w:val="auto"/>
                      <w:sz w:val="20"/>
                      <w:szCs w:val="20"/>
                      <w:highlight w:val="none"/>
                    </w:rPr>
                  </w:pPr>
                  <w:r>
                    <w:rPr>
                      <w:rFonts w:ascii="Arial Narrow" w:hAnsi="Arial Narrow" w:eastAsia="Arial Narrow" w:cs="Arial Narrow"/>
                      <w:color w:val="auto"/>
                      <w:sz w:val="20"/>
                      <w:szCs w:val="20"/>
                      <w:highlight w:val="none"/>
                      <w:lang w:bidi="ar"/>
                    </w:rPr>
                    <w:t>m2</w:t>
                  </w:r>
                </w:p>
              </w:tc>
              <w:tc>
                <w:tcPr>
                  <w:tcW w:w="10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ascii="宋体" w:hAnsi="宋体" w:cs="宋体"/>
                      <w:color w:val="auto"/>
                      <w:sz w:val="20"/>
                      <w:szCs w:val="20"/>
                      <w:highlight w:val="none"/>
                    </w:rPr>
                  </w:pPr>
                  <w:r>
                    <w:rPr>
                      <w:rFonts w:hint="eastAsia" w:ascii="宋体" w:hAnsi="宋体" w:eastAsia="宋体" w:cs="宋体"/>
                      <w:i w:val="0"/>
                      <w:iCs w:val="0"/>
                      <w:color w:val="000000"/>
                      <w:kern w:val="0"/>
                      <w:sz w:val="20"/>
                      <w:szCs w:val="20"/>
                      <w:u w:val="none"/>
                      <w:lang w:val="en-US" w:eastAsia="zh-CN" w:bidi="ar"/>
                    </w:rPr>
                    <w:t xml:space="preserve">1294.42 </w:t>
                  </w:r>
                </w:p>
              </w:tc>
              <w:tc>
                <w:tcPr>
                  <w:tcW w:w="61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419" w:hRule="atLeast"/>
                <w:jc w:val="center"/>
              </w:trPr>
              <w:tc>
                <w:tcPr>
                  <w:tcW w:w="4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color w:val="auto"/>
                      <w:sz w:val="20"/>
                      <w:szCs w:val="20"/>
                      <w:highlight w:val="none"/>
                    </w:rPr>
                  </w:pPr>
                  <w:r>
                    <w:rPr>
                      <w:rFonts w:ascii="Arial Narrow" w:hAnsi="Arial Narrow" w:eastAsia="Arial Narrow" w:cs="Arial Narrow"/>
                      <w:color w:val="auto"/>
                      <w:sz w:val="20"/>
                      <w:szCs w:val="20"/>
                      <w:highlight w:val="none"/>
                      <w:lang w:bidi="ar"/>
                    </w:rPr>
                    <w:t>8</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手术室三方框</w:t>
                  </w:r>
                </w:p>
              </w:tc>
              <w:tc>
                <w:tcPr>
                  <w:tcW w:w="435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1.名称:手术室三方框门套</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2.材质、规格:1.2mm厚医疗电解钢板</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3.基层龙骨:50*30*1.2镀锌方管龙骨</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4.工作内容：基层清理,定位,弹线,钻眼、安膨胀螺栓、安装龙骨；打胶、粘贴面层、清理净面等。</w:t>
                  </w:r>
                </w:p>
              </w:tc>
              <w:tc>
                <w:tcPr>
                  <w:tcW w:w="107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加工厂：浩东、智迪锐、铭铉</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color w:val="auto"/>
                      <w:sz w:val="20"/>
                      <w:szCs w:val="20"/>
                      <w:highlight w:val="none"/>
                    </w:rPr>
                  </w:pPr>
                  <w:r>
                    <w:rPr>
                      <w:rFonts w:ascii="Arial Narrow" w:hAnsi="Arial Narrow" w:eastAsia="Arial Narrow" w:cs="Arial Narrow"/>
                      <w:color w:val="auto"/>
                      <w:sz w:val="20"/>
                      <w:szCs w:val="20"/>
                      <w:highlight w:val="none"/>
                      <w:lang w:bidi="ar"/>
                    </w:rPr>
                    <w:t>m2</w:t>
                  </w:r>
                </w:p>
              </w:tc>
              <w:tc>
                <w:tcPr>
                  <w:tcW w:w="10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ascii="宋体" w:hAnsi="宋体" w:cs="宋体"/>
                      <w:color w:val="auto"/>
                      <w:sz w:val="20"/>
                      <w:szCs w:val="20"/>
                      <w:highlight w:val="none"/>
                    </w:rPr>
                  </w:pPr>
                  <w:r>
                    <w:rPr>
                      <w:rFonts w:hint="eastAsia" w:ascii="宋体" w:hAnsi="宋体" w:eastAsia="宋体" w:cs="宋体"/>
                      <w:i w:val="0"/>
                      <w:iCs w:val="0"/>
                      <w:color w:val="000000"/>
                      <w:kern w:val="0"/>
                      <w:sz w:val="20"/>
                      <w:szCs w:val="20"/>
                      <w:u w:val="none"/>
                      <w:lang w:val="en-US" w:eastAsia="zh-CN" w:bidi="ar"/>
                    </w:rPr>
                    <w:t xml:space="preserve">161.71 </w:t>
                  </w:r>
                </w:p>
              </w:tc>
              <w:tc>
                <w:tcPr>
                  <w:tcW w:w="61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358" w:hRule="atLeast"/>
                <w:jc w:val="center"/>
              </w:trPr>
              <w:tc>
                <w:tcPr>
                  <w:tcW w:w="4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color w:val="auto"/>
                      <w:sz w:val="20"/>
                      <w:szCs w:val="20"/>
                      <w:highlight w:val="none"/>
                    </w:rPr>
                  </w:pPr>
                  <w:r>
                    <w:rPr>
                      <w:rFonts w:ascii="Arial Narrow" w:hAnsi="Arial Narrow" w:eastAsia="Arial Narrow" w:cs="Arial Narrow"/>
                      <w:color w:val="auto"/>
                      <w:sz w:val="20"/>
                      <w:szCs w:val="20"/>
                      <w:highlight w:val="none"/>
                      <w:lang w:bidi="ar"/>
                    </w:rPr>
                    <w:t>9</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医疗电解钢板成品过渡圆弧</w:t>
                  </w:r>
                </w:p>
              </w:tc>
              <w:tc>
                <w:tcPr>
                  <w:tcW w:w="435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1.名称：医疗电解钢板过渡圆弧</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2.规格：R=300圆弧过渡,圆弧背贴30mm厚橡塑保温板</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3.工作内容：定位、划线、成品焊接连接墙板、安装等。</w:t>
                  </w:r>
                </w:p>
              </w:tc>
              <w:tc>
                <w:tcPr>
                  <w:tcW w:w="107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加工厂：浩东、智迪锐、铭铉</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color w:val="auto"/>
                      <w:sz w:val="20"/>
                      <w:szCs w:val="20"/>
                      <w:highlight w:val="none"/>
                    </w:rPr>
                  </w:pPr>
                  <w:r>
                    <w:rPr>
                      <w:rFonts w:ascii="Arial Narrow" w:hAnsi="Arial Narrow" w:eastAsia="Arial Narrow" w:cs="Arial Narrow"/>
                      <w:color w:val="auto"/>
                      <w:sz w:val="20"/>
                      <w:szCs w:val="20"/>
                      <w:highlight w:val="none"/>
                      <w:lang w:bidi="ar"/>
                    </w:rPr>
                    <w:t>m</w:t>
                  </w:r>
                </w:p>
              </w:tc>
              <w:tc>
                <w:tcPr>
                  <w:tcW w:w="10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ascii="宋体" w:hAnsi="宋体" w:cs="宋体"/>
                      <w:color w:val="auto"/>
                      <w:sz w:val="20"/>
                      <w:szCs w:val="20"/>
                      <w:highlight w:val="none"/>
                    </w:rPr>
                  </w:pPr>
                  <w:r>
                    <w:rPr>
                      <w:rFonts w:hint="eastAsia" w:ascii="宋体" w:hAnsi="宋体" w:eastAsia="宋体" w:cs="宋体"/>
                      <w:i w:val="0"/>
                      <w:iCs w:val="0"/>
                      <w:color w:val="000000"/>
                      <w:kern w:val="0"/>
                      <w:sz w:val="20"/>
                      <w:szCs w:val="20"/>
                      <w:u w:val="none"/>
                      <w:lang w:val="en-US" w:eastAsia="zh-CN" w:bidi="ar"/>
                    </w:rPr>
                    <w:t xml:space="preserve">753.25 </w:t>
                  </w:r>
                </w:p>
              </w:tc>
              <w:tc>
                <w:tcPr>
                  <w:tcW w:w="61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020" w:hRule="atLeast"/>
                <w:jc w:val="center"/>
              </w:trPr>
              <w:tc>
                <w:tcPr>
                  <w:tcW w:w="4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color w:val="auto"/>
                      <w:sz w:val="20"/>
                      <w:szCs w:val="20"/>
                      <w:highlight w:val="none"/>
                    </w:rPr>
                  </w:pPr>
                  <w:r>
                    <w:rPr>
                      <w:rFonts w:ascii="Arial Narrow" w:hAnsi="Arial Narrow" w:eastAsia="Arial Narrow" w:cs="Arial Narrow"/>
                      <w:color w:val="auto"/>
                      <w:sz w:val="20"/>
                      <w:szCs w:val="20"/>
                      <w:highlight w:val="none"/>
                      <w:lang w:bidi="ar"/>
                    </w:rPr>
                    <w:t>10</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医疗电解钢板三维节点</w:t>
                  </w:r>
                </w:p>
              </w:tc>
              <w:tc>
                <w:tcPr>
                  <w:tcW w:w="435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1.名称：医疗电解钢板三维节点</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2.规格：R300</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3.工作内容：定位、划线、安装三维节点、修整等。</w:t>
                  </w:r>
                </w:p>
              </w:tc>
              <w:tc>
                <w:tcPr>
                  <w:tcW w:w="107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加工厂：浩东、智迪锐、铭铉</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10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ascii="宋体" w:hAnsi="宋体" w:cs="宋体"/>
                      <w:color w:val="auto"/>
                      <w:sz w:val="20"/>
                      <w:szCs w:val="20"/>
                      <w:highlight w:val="none"/>
                    </w:rPr>
                  </w:pPr>
                  <w:r>
                    <w:rPr>
                      <w:rFonts w:hint="eastAsia" w:ascii="宋体" w:hAnsi="宋体" w:eastAsia="宋体" w:cs="宋体"/>
                      <w:i w:val="0"/>
                      <w:iCs w:val="0"/>
                      <w:color w:val="000000"/>
                      <w:kern w:val="0"/>
                      <w:sz w:val="20"/>
                      <w:szCs w:val="20"/>
                      <w:u w:val="none"/>
                      <w:lang w:val="en-US" w:eastAsia="zh-CN" w:bidi="ar"/>
                    </w:rPr>
                    <w:t xml:space="preserve">85.00 </w:t>
                  </w:r>
                </w:p>
              </w:tc>
              <w:tc>
                <w:tcPr>
                  <w:tcW w:w="61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020" w:hRule="atLeast"/>
                <w:jc w:val="center"/>
              </w:trPr>
              <w:tc>
                <w:tcPr>
                  <w:tcW w:w="4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color w:val="auto"/>
                      <w:sz w:val="20"/>
                      <w:szCs w:val="20"/>
                      <w:highlight w:val="none"/>
                    </w:rPr>
                  </w:pPr>
                  <w:r>
                    <w:rPr>
                      <w:rFonts w:ascii="Arial Narrow" w:hAnsi="Arial Narrow" w:eastAsia="Arial Narrow" w:cs="Arial Narrow"/>
                      <w:color w:val="auto"/>
                      <w:sz w:val="20"/>
                      <w:szCs w:val="20"/>
                      <w:highlight w:val="none"/>
                      <w:lang w:bidi="ar"/>
                    </w:rPr>
                    <w:t>11</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墙面涂膜防水</w:t>
                  </w:r>
                </w:p>
              </w:tc>
              <w:tc>
                <w:tcPr>
                  <w:tcW w:w="435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1.名称：墙面防水</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2.规格：聚合物水泥基防水涂料1.5mm 厚</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3.工作内容：清理基层,调配及涂刷涂料。</w:t>
                  </w:r>
                </w:p>
              </w:tc>
              <w:tc>
                <w:tcPr>
                  <w:tcW w:w="107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金雨伞、星月旺、禹王</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color w:val="auto"/>
                      <w:sz w:val="20"/>
                      <w:szCs w:val="20"/>
                      <w:highlight w:val="none"/>
                    </w:rPr>
                  </w:pPr>
                  <w:r>
                    <w:rPr>
                      <w:rFonts w:ascii="Arial Narrow" w:hAnsi="Arial Narrow" w:eastAsia="Arial Narrow" w:cs="Arial Narrow"/>
                      <w:color w:val="auto"/>
                      <w:sz w:val="20"/>
                      <w:szCs w:val="20"/>
                      <w:highlight w:val="none"/>
                      <w:lang w:bidi="ar"/>
                    </w:rPr>
                    <w:t>m2</w:t>
                  </w:r>
                </w:p>
              </w:tc>
              <w:tc>
                <w:tcPr>
                  <w:tcW w:w="10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ascii="宋体" w:hAnsi="宋体" w:cs="宋体"/>
                      <w:color w:val="auto"/>
                      <w:sz w:val="20"/>
                      <w:szCs w:val="20"/>
                      <w:highlight w:val="none"/>
                    </w:rPr>
                  </w:pPr>
                  <w:r>
                    <w:rPr>
                      <w:rFonts w:hint="eastAsia" w:ascii="宋体" w:hAnsi="宋体" w:eastAsia="宋体" w:cs="宋体"/>
                      <w:i w:val="0"/>
                      <w:iCs w:val="0"/>
                      <w:color w:val="000000"/>
                      <w:kern w:val="0"/>
                      <w:sz w:val="20"/>
                      <w:szCs w:val="20"/>
                      <w:u w:val="none"/>
                      <w:lang w:val="en-US" w:eastAsia="zh-CN" w:bidi="ar"/>
                    </w:rPr>
                    <w:t xml:space="preserve">255.81 </w:t>
                  </w:r>
                </w:p>
              </w:tc>
              <w:tc>
                <w:tcPr>
                  <w:tcW w:w="61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875" w:hRule="atLeast"/>
                <w:jc w:val="center"/>
              </w:trPr>
              <w:tc>
                <w:tcPr>
                  <w:tcW w:w="4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color w:val="auto"/>
                      <w:sz w:val="20"/>
                      <w:szCs w:val="20"/>
                      <w:highlight w:val="none"/>
                    </w:rPr>
                  </w:pPr>
                  <w:r>
                    <w:rPr>
                      <w:rFonts w:ascii="Arial Narrow" w:hAnsi="Arial Narrow" w:eastAsia="Arial Narrow" w:cs="Arial Narrow"/>
                      <w:color w:val="auto"/>
                      <w:sz w:val="20"/>
                      <w:szCs w:val="20"/>
                      <w:highlight w:val="none"/>
                      <w:lang w:bidi="ar"/>
                    </w:rPr>
                    <w:t>12</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瓷砖墙面</w:t>
                  </w:r>
                </w:p>
              </w:tc>
              <w:tc>
                <w:tcPr>
                  <w:tcW w:w="435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1.名称:瓷砖墙面</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2.安装方式：3mm厚强力胶粉泥粘贴层，揉寄压实；素水泥浆一道；</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3.面层材料、规格:墙面砖300*450mm</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4.嵌缝材料种类:专用瓷砖密封剂勾缝</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5.工作内容:清理基层、试排弹线、锯板修边、铺抹结合层、铺贴饰面、勾缝、清理净面。</w:t>
                  </w:r>
                </w:p>
              </w:tc>
              <w:tc>
                <w:tcPr>
                  <w:tcW w:w="107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马可波罗、亚细亚、东鹏、蒙娜丽莎</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color w:val="auto"/>
                      <w:sz w:val="20"/>
                      <w:szCs w:val="20"/>
                      <w:highlight w:val="none"/>
                    </w:rPr>
                  </w:pPr>
                  <w:r>
                    <w:rPr>
                      <w:rFonts w:ascii="Arial Narrow" w:hAnsi="Arial Narrow" w:eastAsia="Arial Narrow" w:cs="Arial Narrow"/>
                      <w:color w:val="auto"/>
                      <w:sz w:val="20"/>
                      <w:szCs w:val="20"/>
                      <w:highlight w:val="none"/>
                      <w:lang w:bidi="ar"/>
                    </w:rPr>
                    <w:t>m2</w:t>
                  </w:r>
                </w:p>
              </w:tc>
              <w:tc>
                <w:tcPr>
                  <w:tcW w:w="10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ascii="宋体" w:hAnsi="宋体" w:cs="宋体"/>
                      <w:color w:val="auto"/>
                      <w:sz w:val="20"/>
                      <w:szCs w:val="20"/>
                      <w:highlight w:val="none"/>
                    </w:rPr>
                  </w:pPr>
                  <w:r>
                    <w:rPr>
                      <w:rFonts w:hint="eastAsia" w:ascii="宋体" w:hAnsi="宋体" w:eastAsia="宋体" w:cs="宋体"/>
                      <w:i w:val="0"/>
                      <w:iCs w:val="0"/>
                      <w:color w:val="000000"/>
                      <w:kern w:val="0"/>
                      <w:sz w:val="20"/>
                      <w:szCs w:val="20"/>
                      <w:u w:val="none"/>
                      <w:lang w:val="en-US" w:eastAsia="zh-CN" w:bidi="ar"/>
                    </w:rPr>
                    <w:t xml:space="preserve">255.81 </w:t>
                  </w:r>
                </w:p>
              </w:tc>
              <w:tc>
                <w:tcPr>
                  <w:tcW w:w="61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2160" w:hRule="atLeast"/>
                <w:jc w:val="center"/>
              </w:trPr>
              <w:tc>
                <w:tcPr>
                  <w:tcW w:w="4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color w:val="auto"/>
                      <w:sz w:val="20"/>
                      <w:szCs w:val="20"/>
                      <w:highlight w:val="none"/>
                    </w:rPr>
                  </w:pPr>
                  <w:r>
                    <w:rPr>
                      <w:rFonts w:ascii="Arial Narrow" w:hAnsi="Arial Narrow" w:eastAsia="Arial Narrow" w:cs="Arial Narrow"/>
                      <w:color w:val="auto"/>
                      <w:sz w:val="20"/>
                      <w:szCs w:val="20"/>
                      <w:highlight w:val="none"/>
                      <w:lang w:bidi="ar"/>
                    </w:rPr>
                    <w:t>13</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岩棉彩钢板</w:t>
                  </w:r>
                </w:p>
              </w:tc>
              <w:tc>
                <w:tcPr>
                  <w:tcW w:w="435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1.名称：墙面双面玻镁岩棉彩钢板</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2.规格：板厚50mm厚,面层钢板厚度0.5mm,内填岩棉100kg/m3，双面5mm玻镁面板（包含金属收边条）。</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3.专用钢制天槽地槽固定;</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 xml:space="preserve">4.专用镀锌角钢支架与混凝土墙预埋钢板焊牢(或膨胀螺栓固定),固定天槽; </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5.地槽与混凝土地面预埋钢板焊牢(或膨胀螺栓固定)。</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6.工作内容：放料、下料,切割断料。开门窗洞口,周边塞口,清扫;弹线、安装。</w:t>
                  </w:r>
                </w:p>
              </w:tc>
              <w:tc>
                <w:tcPr>
                  <w:tcW w:w="1073" w:type="dxa"/>
                  <w:tcBorders>
                    <w:top w:val="nil"/>
                    <w:left w:val="nil"/>
                    <w:bottom w:val="nil"/>
                    <w:right w:val="nil"/>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color w:val="auto"/>
                      <w:sz w:val="20"/>
                      <w:szCs w:val="20"/>
                      <w:highlight w:val="none"/>
                    </w:rPr>
                  </w:pPr>
                  <w:r>
                    <w:rPr>
                      <w:rFonts w:ascii="Arial Narrow" w:hAnsi="Arial Narrow" w:eastAsia="Arial Narrow" w:cs="Arial Narrow"/>
                      <w:color w:val="auto"/>
                      <w:sz w:val="20"/>
                      <w:szCs w:val="20"/>
                      <w:highlight w:val="none"/>
                      <w:lang w:bidi="ar"/>
                    </w:rPr>
                    <w:t>m2</w:t>
                  </w:r>
                </w:p>
              </w:tc>
              <w:tc>
                <w:tcPr>
                  <w:tcW w:w="10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ascii="宋体" w:hAnsi="宋体" w:cs="宋体"/>
                      <w:color w:val="auto"/>
                      <w:sz w:val="20"/>
                      <w:szCs w:val="20"/>
                      <w:highlight w:val="none"/>
                    </w:rPr>
                  </w:pPr>
                  <w:r>
                    <w:rPr>
                      <w:rFonts w:hint="eastAsia" w:ascii="宋体" w:hAnsi="宋体" w:eastAsia="宋体" w:cs="宋体"/>
                      <w:i w:val="0"/>
                      <w:iCs w:val="0"/>
                      <w:color w:val="000000"/>
                      <w:kern w:val="0"/>
                      <w:sz w:val="20"/>
                      <w:szCs w:val="20"/>
                      <w:u w:val="none"/>
                      <w:lang w:val="en-US" w:eastAsia="zh-CN" w:bidi="ar"/>
                    </w:rPr>
                    <w:t xml:space="preserve">294.58 </w:t>
                  </w:r>
                </w:p>
              </w:tc>
              <w:tc>
                <w:tcPr>
                  <w:tcW w:w="61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540" w:hRule="atLeast"/>
                <w:jc w:val="center"/>
              </w:trPr>
              <w:tc>
                <w:tcPr>
                  <w:tcW w:w="4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color w:val="auto"/>
                      <w:sz w:val="20"/>
                      <w:szCs w:val="20"/>
                      <w:highlight w:val="none"/>
                    </w:rPr>
                  </w:pPr>
                  <w:r>
                    <w:rPr>
                      <w:rFonts w:ascii="Arial Narrow" w:hAnsi="Arial Narrow" w:eastAsia="Arial Narrow" w:cs="Arial Narrow"/>
                      <w:color w:val="auto"/>
                      <w:sz w:val="20"/>
                      <w:szCs w:val="20"/>
                      <w:highlight w:val="none"/>
                      <w:lang w:bidi="ar"/>
                    </w:rPr>
                    <w:t>14</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隔音棉墙面</w:t>
                  </w:r>
                </w:p>
              </w:tc>
              <w:tc>
                <w:tcPr>
                  <w:tcW w:w="435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1.名称：消音板墙面</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2.工艺:隔音棉粘贴</w:t>
                  </w:r>
                </w:p>
              </w:tc>
              <w:tc>
                <w:tcPr>
                  <w:tcW w:w="1073" w:type="dxa"/>
                  <w:tcBorders>
                    <w:top w:val="single" w:color="000000" w:sz="4" w:space="0"/>
                    <w:left w:val="single" w:color="000000" w:sz="4" w:space="0"/>
                    <w:bottom w:val="single" w:color="000000" w:sz="4" w:space="0"/>
                    <w:right w:val="nil"/>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color w:val="auto"/>
                      <w:sz w:val="20"/>
                      <w:szCs w:val="20"/>
                      <w:highlight w:val="none"/>
                    </w:rPr>
                  </w:pPr>
                  <w:r>
                    <w:rPr>
                      <w:rFonts w:ascii="Arial Narrow" w:hAnsi="Arial Narrow" w:eastAsia="Arial Narrow" w:cs="Arial Narrow"/>
                      <w:color w:val="auto"/>
                      <w:sz w:val="20"/>
                      <w:szCs w:val="20"/>
                      <w:highlight w:val="none"/>
                      <w:lang w:bidi="ar"/>
                    </w:rPr>
                    <w:t>m2</w:t>
                  </w:r>
                </w:p>
              </w:tc>
              <w:tc>
                <w:tcPr>
                  <w:tcW w:w="10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ascii="宋体" w:hAnsi="宋体" w:cs="宋体"/>
                      <w:color w:val="auto"/>
                      <w:sz w:val="20"/>
                      <w:szCs w:val="20"/>
                      <w:highlight w:val="none"/>
                    </w:rPr>
                  </w:pPr>
                  <w:r>
                    <w:rPr>
                      <w:rFonts w:hint="eastAsia" w:ascii="宋体" w:hAnsi="宋体" w:eastAsia="宋体" w:cs="宋体"/>
                      <w:i w:val="0"/>
                      <w:iCs w:val="0"/>
                      <w:color w:val="000000"/>
                      <w:kern w:val="0"/>
                      <w:sz w:val="20"/>
                      <w:szCs w:val="20"/>
                      <w:u w:val="none"/>
                      <w:lang w:val="en-US" w:eastAsia="zh-CN" w:bidi="ar"/>
                    </w:rPr>
                    <w:t xml:space="preserve">77.85 </w:t>
                  </w:r>
                </w:p>
              </w:tc>
              <w:tc>
                <w:tcPr>
                  <w:tcW w:w="61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600" w:hRule="atLeast"/>
                <w:jc w:val="center"/>
              </w:trPr>
              <w:tc>
                <w:tcPr>
                  <w:tcW w:w="4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bCs/>
                      <w:color w:val="auto"/>
                      <w:sz w:val="20"/>
                      <w:szCs w:val="20"/>
                      <w:highlight w:val="none"/>
                    </w:rPr>
                  </w:pPr>
                  <w:r>
                    <w:rPr>
                      <w:rFonts w:hint="eastAsia" w:ascii="宋体" w:hAnsi="宋体" w:cs="宋体"/>
                      <w:b/>
                      <w:bCs/>
                      <w:color w:val="auto"/>
                      <w:sz w:val="20"/>
                      <w:szCs w:val="20"/>
                      <w:highlight w:val="none"/>
                      <w:lang w:bidi="ar"/>
                    </w:rPr>
                    <w:t>三</w:t>
                  </w:r>
                </w:p>
              </w:tc>
              <w:tc>
                <w:tcPr>
                  <w:tcW w:w="514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Narrow" w:hAnsi="Arial Narrow" w:eastAsia="Arial Narrow" w:cs="Arial Narrow"/>
                      <w:color w:val="auto"/>
                      <w:sz w:val="20"/>
                      <w:szCs w:val="20"/>
                      <w:highlight w:val="none"/>
                    </w:rPr>
                  </w:pPr>
                  <w:r>
                    <w:rPr>
                      <w:rFonts w:hint="eastAsia" w:ascii="宋体" w:hAnsi="宋体" w:cs="宋体"/>
                      <w:b/>
                      <w:bCs/>
                      <w:color w:val="auto"/>
                      <w:sz w:val="20"/>
                      <w:szCs w:val="20"/>
                      <w:highlight w:val="none"/>
                      <w:lang w:bidi="ar"/>
                    </w:rPr>
                    <w:t xml:space="preserve"> 顶面工程 </w:t>
                  </w:r>
                </w:p>
              </w:tc>
              <w:tc>
                <w:tcPr>
                  <w:tcW w:w="107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 w:val="20"/>
                      <w:szCs w:val="20"/>
                      <w:highlight w:val="none"/>
                    </w:rPr>
                  </w:pP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Narrow" w:hAnsi="Arial Narrow" w:eastAsia="Arial Narrow" w:cs="Arial Narrow"/>
                      <w:color w:val="auto"/>
                      <w:sz w:val="20"/>
                      <w:szCs w:val="20"/>
                      <w:highlight w:val="none"/>
                    </w:rPr>
                  </w:pPr>
                </w:p>
              </w:tc>
              <w:tc>
                <w:tcPr>
                  <w:tcW w:w="10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auto"/>
                      <w:sz w:val="20"/>
                      <w:szCs w:val="20"/>
                      <w:highlight w:val="none"/>
                    </w:rPr>
                  </w:pPr>
                </w:p>
              </w:tc>
              <w:tc>
                <w:tcPr>
                  <w:tcW w:w="6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960" w:hRule="atLeast"/>
                <w:jc w:val="center"/>
              </w:trPr>
              <w:tc>
                <w:tcPr>
                  <w:tcW w:w="4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color w:val="auto"/>
                      <w:sz w:val="20"/>
                      <w:szCs w:val="20"/>
                      <w:highlight w:val="none"/>
                    </w:rPr>
                  </w:pPr>
                  <w:r>
                    <w:rPr>
                      <w:rFonts w:ascii="Arial Narrow" w:hAnsi="Arial Narrow" w:eastAsia="Arial Narrow" w:cs="Arial Narrow"/>
                      <w:color w:val="auto"/>
                      <w:sz w:val="20"/>
                      <w:szCs w:val="20"/>
                      <w:highlight w:val="none"/>
                      <w:lang w:bidi="ar"/>
                    </w:rPr>
                    <w:t>1</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顶面轻钢龙骨</w:t>
                  </w:r>
                </w:p>
              </w:tc>
              <w:tc>
                <w:tcPr>
                  <w:tcW w:w="435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1.名称：顶面轻钢龙骨</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2.规格：60系列吊顶轻钢龙骨</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3.工作内容：基层清理,定位,弹线,钻眼、安膨胀螺栓、安装龙骨。</w:t>
                  </w:r>
                </w:p>
              </w:tc>
              <w:tc>
                <w:tcPr>
                  <w:tcW w:w="107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杰森、雪丰、宝欣</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color w:val="auto"/>
                      <w:sz w:val="20"/>
                      <w:szCs w:val="20"/>
                      <w:highlight w:val="none"/>
                    </w:rPr>
                  </w:pPr>
                  <w:r>
                    <w:rPr>
                      <w:rFonts w:ascii="Arial Narrow" w:hAnsi="Arial Narrow" w:eastAsia="Arial Narrow" w:cs="Arial Narrow"/>
                      <w:color w:val="auto"/>
                      <w:sz w:val="20"/>
                      <w:szCs w:val="20"/>
                      <w:highlight w:val="none"/>
                      <w:lang w:bidi="ar"/>
                    </w:rPr>
                    <w:t>m2</w:t>
                  </w:r>
                </w:p>
              </w:tc>
              <w:tc>
                <w:tcPr>
                  <w:tcW w:w="10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ascii="宋体" w:hAnsi="宋体" w:cs="宋体"/>
                      <w:color w:val="auto"/>
                      <w:sz w:val="20"/>
                      <w:szCs w:val="20"/>
                      <w:highlight w:val="none"/>
                    </w:rPr>
                  </w:pPr>
                  <w:r>
                    <w:rPr>
                      <w:rFonts w:hint="eastAsia" w:ascii="宋体" w:hAnsi="宋体" w:eastAsia="宋体" w:cs="宋体"/>
                      <w:i w:val="0"/>
                      <w:iCs w:val="0"/>
                      <w:color w:val="000000"/>
                      <w:kern w:val="0"/>
                      <w:sz w:val="20"/>
                      <w:szCs w:val="20"/>
                      <w:u w:val="none"/>
                      <w:lang w:val="en-US" w:eastAsia="zh-CN" w:bidi="ar"/>
                    </w:rPr>
                    <w:t xml:space="preserve">3181.37 </w:t>
                  </w:r>
                </w:p>
              </w:tc>
              <w:tc>
                <w:tcPr>
                  <w:tcW w:w="61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879" w:hRule="atLeast"/>
                <w:jc w:val="center"/>
              </w:trPr>
              <w:tc>
                <w:tcPr>
                  <w:tcW w:w="4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color w:val="auto"/>
                      <w:sz w:val="20"/>
                      <w:szCs w:val="20"/>
                      <w:highlight w:val="none"/>
                    </w:rPr>
                  </w:pPr>
                  <w:r>
                    <w:rPr>
                      <w:rFonts w:ascii="Arial Narrow" w:hAnsi="Arial Narrow" w:eastAsia="Arial Narrow" w:cs="Arial Narrow"/>
                      <w:color w:val="auto"/>
                      <w:sz w:val="20"/>
                      <w:szCs w:val="20"/>
                      <w:highlight w:val="none"/>
                      <w:lang w:bidi="ar"/>
                    </w:rPr>
                    <w:t>2</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纸面石膏板</w:t>
                  </w:r>
                </w:p>
              </w:tc>
              <w:tc>
                <w:tcPr>
                  <w:tcW w:w="435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1.名称：纸面石膏板</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2.规格:9.5mm厚</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3.工作内容：铺钉面层、钉压条、清理等。</w:t>
                  </w:r>
                </w:p>
              </w:tc>
              <w:tc>
                <w:tcPr>
                  <w:tcW w:w="107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杰森、雪丰、宝欣</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color w:val="auto"/>
                      <w:sz w:val="20"/>
                      <w:szCs w:val="20"/>
                      <w:highlight w:val="none"/>
                    </w:rPr>
                  </w:pPr>
                  <w:r>
                    <w:rPr>
                      <w:rFonts w:ascii="Arial Narrow" w:hAnsi="Arial Narrow" w:eastAsia="Arial Narrow" w:cs="Arial Narrow"/>
                      <w:color w:val="auto"/>
                      <w:sz w:val="20"/>
                      <w:szCs w:val="20"/>
                      <w:highlight w:val="none"/>
                      <w:lang w:bidi="ar"/>
                    </w:rPr>
                    <w:t>m2</w:t>
                  </w:r>
                </w:p>
              </w:tc>
              <w:tc>
                <w:tcPr>
                  <w:tcW w:w="10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ascii="宋体" w:hAnsi="宋体" w:cs="宋体"/>
                      <w:color w:val="auto"/>
                      <w:sz w:val="20"/>
                      <w:szCs w:val="20"/>
                      <w:highlight w:val="none"/>
                    </w:rPr>
                  </w:pPr>
                  <w:r>
                    <w:rPr>
                      <w:rFonts w:hint="eastAsia" w:ascii="宋体" w:hAnsi="宋体" w:eastAsia="宋体" w:cs="宋体"/>
                      <w:i w:val="0"/>
                      <w:iCs w:val="0"/>
                      <w:color w:val="000000"/>
                      <w:kern w:val="0"/>
                      <w:sz w:val="20"/>
                      <w:szCs w:val="20"/>
                      <w:u w:val="none"/>
                      <w:lang w:val="en-US" w:eastAsia="zh-CN" w:bidi="ar"/>
                    </w:rPr>
                    <w:t xml:space="preserve">3213.13 </w:t>
                  </w:r>
                </w:p>
              </w:tc>
              <w:tc>
                <w:tcPr>
                  <w:tcW w:w="61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140" w:hRule="atLeast"/>
                <w:jc w:val="center"/>
              </w:trPr>
              <w:tc>
                <w:tcPr>
                  <w:tcW w:w="4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color w:val="auto"/>
                      <w:sz w:val="20"/>
                      <w:szCs w:val="20"/>
                      <w:highlight w:val="none"/>
                    </w:rPr>
                  </w:pPr>
                  <w:r>
                    <w:rPr>
                      <w:rFonts w:ascii="Arial Narrow" w:hAnsi="Arial Narrow" w:eastAsia="Arial Narrow" w:cs="Arial Narrow"/>
                      <w:color w:val="auto"/>
                      <w:sz w:val="20"/>
                      <w:szCs w:val="20"/>
                      <w:highlight w:val="none"/>
                      <w:lang w:bidi="ar"/>
                    </w:rPr>
                    <w:t>3</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顶面洁菌板</w:t>
                  </w:r>
                </w:p>
              </w:tc>
              <w:tc>
                <w:tcPr>
                  <w:tcW w:w="435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1.名称：顶面洁菌板（包含金属收边条）</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2.规格：6mm厚</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3.工作内容：清理基层、钉或铺贴面层；板缝采用抗菌防霉洁净专用耐候硅胶处理,保证气密性、清理净面等。</w:t>
                  </w:r>
                </w:p>
              </w:tc>
              <w:tc>
                <w:tcPr>
                  <w:tcW w:w="107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富美家、森旺、威盛亚</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color w:val="auto"/>
                      <w:sz w:val="20"/>
                      <w:szCs w:val="20"/>
                      <w:highlight w:val="none"/>
                    </w:rPr>
                  </w:pPr>
                  <w:r>
                    <w:rPr>
                      <w:rFonts w:ascii="Arial Narrow" w:hAnsi="Arial Narrow" w:eastAsia="Arial Narrow" w:cs="Arial Narrow"/>
                      <w:color w:val="auto"/>
                      <w:sz w:val="20"/>
                      <w:szCs w:val="20"/>
                      <w:highlight w:val="none"/>
                      <w:lang w:bidi="ar"/>
                    </w:rPr>
                    <w:t>m2</w:t>
                  </w:r>
                </w:p>
              </w:tc>
              <w:tc>
                <w:tcPr>
                  <w:tcW w:w="10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ascii="宋体" w:hAnsi="宋体" w:cs="宋体"/>
                      <w:color w:val="auto"/>
                      <w:sz w:val="20"/>
                      <w:szCs w:val="20"/>
                      <w:highlight w:val="none"/>
                    </w:rPr>
                  </w:pPr>
                  <w:r>
                    <w:rPr>
                      <w:rFonts w:hint="eastAsia" w:ascii="宋体" w:hAnsi="宋体" w:eastAsia="宋体" w:cs="宋体"/>
                      <w:i w:val="0"/>
                      <w:iCs w:val="0"/>
                      <w:color w:val="000000"/>
                      <w:kern w:val="0"/>
                      <w:sz w:val="20"/>
                      <w:szCs w:val="20"/>
                      <w:u w:val="none"/>
                      <w:lang w:val="en-US" w:eastAsia="zh-CN" w:bidi="ar"/>
                    </w:rPr>
                    <w:t xml:space="preserve">2892.74 </w:t>
                  </w:r>
                </w:p>
              </w:tc>
              <w:tc>
                <w:tcPr>
                  <w:tcW w:w="61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380" w:hRule="atLeast"/>
                <w:jc w:val="center"/>
              </w:trPr>
              <w:tc>
                <w:tcPr>
                  <w:tcW w:w="4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color w:val="auto"/>
                      <w:sz w:val="20"/>
                      <w:szCs w:val="20"/>
                      <w:highlight w:val="none"/>
                    </w:rPr>
                  </w:pPr>
                  <w:r>
                    <w:rPr>
                      <w:rFonts w:ascii="Arial Narrow" w:hAnsi="Arial Narrow" w:eastAsia="Arial Narrow" w:cs="Arial Narrow"/>
                      <w:color w:val="auto"/>
                      <w:sz w:val="20"/>
                      <w:szCs w:val="20"/>
                      <w:highlight w:val="none"/>
                      <w:lang w:bidi="ar"/>
                    </w:rPr>
                    <w:t>4</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顶面方钢龙骨</w:t>
                  </w:r>
                </w:p>
              </w:tc>
              <w:tc>
                <w:tcPr>
                  <w:tcW w:w="435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1.名称：顶面方管龙骨</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2.规格：30*50</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3.工作内容：基层清理,定位,弹线,钻眼、安膨胀螺栓、安装龙骨。</w:t>
                  </w:r>
                </w:p>
              </w:tc>
              <w:tc>
                <w:tcPr>
                  <w:tcW w:w="107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杰森、雪丰、宝欣</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color w:val="auto"/>
                      <w:sz w:val="20"/>
                      <w:szCs w:val="20"/>
                      <w:highlight w:val="none"/>
                    </w:rPr>
                  </w:pPr>
                  <w:r>
                    <w:rPr>
                      <w:rFonts w:ascii="Arial Narrow" w:hAnsi="Arial Narrow" w:eastAsia="Arial Narrow" w:cs="Arial Narrow"/>
                      <w:color w:val="auto"/>
                      <w:sz w:val="20"/>
                      <w:szCs w:val="20"/>
                      <w:highlight w:val="none"/>
                      <w:lang w:bidi="ar"/>
                    </w:rPr>
                    <w:t>m2</w:t>
                  </w:r>
                </w:p>
              </w:tc>
              <w:tc>
                <w:tcPr>
                  <w:tcW w:w="10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ascii="宋体" w:hAnsi="宋体" w:cs="宋体"/>
                      <w:color w:val="auto"/>
                      <w:sz w:val="20"/>
                      <w:szCs w:val="20"/>
                      <w:highlight w:val="none"/>
                    </w:rPr>
                  </w:pPr>
                  <w:r>
                    <w:rPr>
                      <w:rFonts w:hint="eastAsia" w:ascii="宋体" w:hAnsi="宋体" w:eastAsia="宋体" w:cs="宋体"/>
                      <w:i w:val="0"/>
                      <w:iCs w:val="0"/>
                      <w:color w:val="000000"/>
                      <w:kern w:val="0"/>
                      <w:sz w:val="20"/>
                      <w:szCs w:val="20"/>
                      <w:u w:val="none"/>
                      <w:lang w:val="en-US" w:eastAsia="zh-CN" w:bidi="ar"/>
                    </w:rPr>
                    <w:t xml:space="preserve">776.83 </w:t>
                  </w:r>
                </w:p>
              </w:tc>
              <w:tc>
                <w:tcPr>
                  <w:tcW w:w="61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875" w:hRule="atLeast"/>
                <w:jc w:val="center"/>
              </w:trPr>
              <w:tc>
                <w:tcPr>
                  <w:tcW w:w="4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color w:val="auto"/>
                      <w:sz w:val="20"/>
                      <w:szCs w:val="20"/>
                      <w:highlight w:val="none"/>
                    </w:rPr>
                  </w:pPr>
                  <w:r>
                    <w:rPr>
                      <w:rFonts w:ascii="Arial Narrow" w:hAnsi="Arial Narrow" w:eastAsia="Arial Narrow" w:cs="Arial Narrow"/>
                      <w:color w:val="auto"/>
                      <w:sz w:val="20"/>
                      <w:szCs w:val="20"/>
                      <w:highlight w:val="none"/>
                      <w:lang w:bidi="ar"/>
                    </w:rPr>
                    <w:t>5</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吊顶天棚</w:t>
                  </w:r>
                </w:p>
              </w:tc>
              <w:tc>
                <w:tcPr>
                  <w:tcW w:w="435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1.名称：顶面医用电解钢板</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2.规格:1.2mm厚；工厂成品医用电解钢板(已采用高温高压进行喷涂抗菌漆）。</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3.工作内容：清理基层、采用专用干挂连接件固定于龙骨上，板缝采用抗菌防霉手术室专用耐候硅胶处理,保证气密性、清理净面等。</w:t>
                  </w:r>
                </w:p>
              </w:tc>
              <w:tc>
                <w:tcPr>
                  <w:tcW w:w="107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加工厂：浩东、智迪锐、铭铉</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color w:val="auto"/>
                      <w:sz w:val="20"/>
                      <w:szCs w:val="20"/>
                      <w:highlight w:val="none"/>
                    </w:rPr>
                  </w:pPr>
                  <w:r>
                    <w:rPr>
                      <w:rFonts w:ascii="Arial Narrow" w:hAnsi="Arial Narrow" w:eastAsia="Arial Narrow" w:cs="Arial Narrow"/>
                      <w:color w:val="auto"/>
                      <w:sz w:val="20"/>
                      <w:szCs w:val="20"/>
                      <w:highlight w:val="none"/>
                      <w:lang w:bidi="ar"/>
                    </w:rPr>
                    <w:t>m2</w:t>
                  </w:r>
                </w:p>
              </w:tc>
              <w:tc>
                <w:tcPr>
                  <w:tcW w:w="10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ascii="宋体" w:hAnsi="宋体" w:cs="宋体"/>
                      <w:color w:val="auto"/>
                      <w:sz w:val="20"/>
                      <w:szCs w:val="20"/>
                      <w:highlight w:val="none"/>
                    </w:rPr>
                  </w:pPr>
                  <w:r>
                    <w:rPr>
                      <w:rFonts w:hint="eastAsia" w:ascii="宋体" w:hAnsi="宋体" w:eastAsia="宋体" w:cs="宋体"/>
                      <w:i w:val="0"/>
                      <w:iCs w:val="0"/>
                      <w:color w:val="000000"/>
                      <w:kern w:val="0"/>
                      <w:sz w:val="20"/>
                      <w:szCs w:val="20"/>
                      <w:u w:val="none"/>
                      <w:lang w:val="en-US" w:eastAsia="zh-CN" w:bidi="ar"/>
                    </w:rPr>
                    <w:t xml:space="preserve">776.83 </w:t>
                  </w:r>
                </w:p>
              </w:tc>
              <w:tc>
                <w:tcPr>
                  <w:tcW w:w="61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419" w:hRule="atLeast"/>
                <w:jc w:val="center"/>
              </w:trPr>
              <w:tc>
                <w:tcPr>
                  <w:tcW w:w="4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color w:val="auto"/>
                      <w:sz w:val="20"/>
                      <w:szCs w:val="20"/>
                      <w:highlight w:val="none"/>
                    </w:rPr>
                  </w:pPr>
                  <w:r>
                    <w:rPr>
                      <w:rFonts w:ascii="Arial Narrow" w:hAnsi="Arial Narrow" w:eastAsia="Arial Narrow" w:cs="Arial Narrow"/>
                      <w:color w:val="auto"/>
                      <w:sz w:val="20"/>
                      <w:szCs w:val="20"/>
                      <w:highlight w:val="none"/>
                      <w:lang w:bidi="ar"/>
                    </w:rPr>
                    <w:t>6</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顶面铝合金扣板</w:t>
                  </w:r>
                </w:p>
              </w:tc>
              <w:tc>
                <w:tcPr>
                  <w:tcW w:w="435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1.名称：顶面铝合金扣板</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2.龙骨规格：专用龙骨</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2.面层规格：600*600*0.8mm</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3.工作内容：安装龙骨及横撑附件、加固支撑；安装天棚面层，房间板缝打胶封闭处理。</w:t>
                  </w:r>
                </w:p>
              </w:tc>
              <w:tc>
                <w:tcPr>
                  <w:tcW w:w="107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乐思龙、林德纳、阿姆斯壮</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color w:val="auto"/>
                      <w:sz w:val="20"/>
                      <w:szCs w:val="20"/>
                      <w:highlight w:val="none"/>
                    </w:rPr>
                  </w:pPr>
                  <w:r>
                    <w:rPr>
                      <w:rFonts w:ascii="Arial Narrow" w:hAnsi="Arial Narrow" w:eastAsia="Arial Narrow" w:cs="Arial Narrow"/>
                      <w:color w:val="auto"/>
                      <w:sz w:val="20"/>
                      <w:szCs w:val="20"/>
                      <w:highlight w:val="none"/>
                      <w:lang w:bidi="ar"/>
                    </w:rPr>
                    <w:t>m2</w:t>
                  </w:r>
                </w:p>
              </w:tc>
              <w:tc>
                <w:tcPr>
                  <w:tcW w:w="10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ascii="宋体" w:hAnsi="宋体" w:cs="宋体"/>
                      <w:color w:val="auto"/>
                      <w:sz w:val="20"/>
                      <w:szCs w:val="20"/>
                      <w:highlight w:val="none"/>
                    </w:rPr>
                  </w:pPr>
                  <w:r>
                    <w:rPr>
                      <w:rFonts w:hint="eastAsia" w:ascii="宋体" w:hAnsi="宋体" w:eastAsia="宋体" w:cs="宋体"/>
                      <w:i w:val="0"/>
                      <w:iCs w:val="0"/>
                      <w:color w:val="000000"/>
                      <w:kern w:val="0"/>
                      <w:sz w:val="20"/>
                      <w:szCs w:val="20"/>
                      <w:u w:val="none"/>
                      <w:lang w:val="en-US" w:eastAsia="zh-CN" w:bidi="ar"/>
                    </w:rPr>
                    <w:t xml:space="preserve">74.31 </w:t>
                  </w:r>
                </w:p>
              </w:tc>
              <w:tc>
                <w:tcPr>
                  <w:tcW w:w="61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041" w:hRule="atLeast"/>
                <w:jc w:val="center"/>
              </w:trPr>
              <w:tc>
                <w:tcPr>
                  <w:tcW w:w="4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color w:val="auto"/>
                      <w:sz w:val="20"/>
                      <w:szCs w:val="20"/>
                      <w:highlight w:val="none"/>
                    </w:rPr>
                  </w:pPr>
                  <w:r>
                    <w:rPr>
                      <w:rFonts w:ascii="Arial Narrow" w:hAnsi="Arial Narrow" w:eastAsia="Arial Narrow" w:cs="Arial Narrow"/>
                      <w:color w:val="auto"/>
                      <w:sz w:val="20"/>
                      <w:szCs w:val="20"/>
                      <w:highlight w:val="none"/>
                      <w:lang w:bidi="ar"/>
                    </w:rPr>
                    <w:t>7</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顶面抗菌涂料</w:t>
                  </w:r>
                </w:p>
              </w:tc>
              <w:tc>
                <w:tcPr>
                  <w:tcW w:w="435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1.名称：顶面抗菌涂料</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2.规格：刮腻子3道+抗菌涂料3遍，与产品配套腻子满刮三遍,砂纸磨光。喷涂抗菌涂料。</w:t>
                  </w:r>
                </w:p>
              </w:tc>
              <w:tc>
                <w:tcPr>
                  <w:tcW w:w="107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华润、立邦、多乐士</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color w:val="auto"/>
                      <w:sz w:val="20"/>
                      <w:szCs w:val="20"/>
                      <w:highlight w:val="none"/>
                    </w:rPr>
                  </w:pPr>
                  <w:r>
                    <w:rPr>
                      <w:rFonts w:ascii="Arial Narrow" w:hAnsi="Arial Narrow" w:eastAsia="Arial Narrow" w:cs="Arial Narrow"/>
                      <w:color w:val="auto"/>
                      <w:sz w:val="20"/>
                      <w:szCs w:val="20"/>
                      <w:highlight w:val="none"/>
                      <w:lang w:bidi="ar"/>
                    </w:rPr>
                    <w:t>m2</w:t>
                  </w:r>
                </w:p>
              </w:tc>
              <w:tc>
                <w:tcPr>
                  <w:tcW w:w="10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ascii="宋体" w:hAnsi="宋体" w:cs="宋体"/>
                      <w:color w:val="auto"/>
                      <w:sz w:val="20"/>
                      <w:szCs w:val="20"/>
                      <w:highlight w:val="none"/>
                    </w:rPr>
                  </w:pPr>
                  <w:r>
                    <w:rPr>
                      <w:rFonts w:hint="eastAsia" w:ascii="宋体" w:hAnsi="宋体" w:eastAsia="宋体" w:cs="宋体"/>
                      <w:i w:val="0"/>
                      <w:iCs w:val="0"/>
                      <w:color w:val="000000"/>
                      <w:kern w:val="0"/>
                      <w:sz w:val="20"/>
                      <w:szCs w:val="20"/>
                      <w:u w:val="none"/>
                      <w:lang w:val="en-US" w:eastAsia="zh-CN" w:bidi="ar"/>
                    </w:rPr>
                    <w:t xml:space="preserve">288.63 </w:t>
                  </w:r>
                </w:p>
              </w:tc>
              <w:tc>
                <w:tcPr>
                  <w:tcW w:w="61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680" w:hRule="atLeast"/>
                <w:jc w:val="center"/>
              </w:trPr>
              <w:tc>
                <w:tcPr>
                  <w:tcW w:w="4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color w:val="auto"/>
                      <w:sz w:val="20"/>
                      <w:szCs w:val="20"/>
                      <w:highlight w:val="none"/>
                    </w:rPr>
                  </w:pPr>
                  <w:r>
                    <w:rPr>
                      <w:rFonts w:ascii="Arial Narrow" w:hAnsi="Arial Narrow" w:eastAsia="Arial Narrow" w:cs="Arial Narrow"/>
                      <w:color w:val="auto"/>
                      <w:sz w:val="20"/>
                      <w:szCs w:val="20"/>
                      <w:highlight w:val="none"/>
                      <w:lang w:bidi="ar"/>
                    </w:rPr>
                    <w:t>8</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顶面医用手工双面玻镁岩棉彩钢板</w:t>
                  </w:r>
                </w:p>
              </w:tc>
              <w:tc>
                <w:tcPr>
                  <w:tcW w:w="435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1.名称：顶面双面玻镁岩棉彩钢板</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2.规格：板厚50mm厚,面层钢板厚度0.5mm,内填岩棉100kg/m3,双面5mm玻镁面板</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3.工作内容：放料、下料,切割断料。开门窗洞口,周边塞口,清扫;弹线、安装。</w:t>
                  </w:r>
                </w:p>
              </w:tc>
              <w:tc>
                <w:tcPr>
                  <w:tcW w:w="1073" w:type="dxa"/>
                  <w:tcBorders>
                    <w:top w:val="nil"/>
                    <w:left w:val="nil"/>
                    <w:bottom w:val="nil"/>
                    <w:right w:val="nil"/>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color w:val="auto"/>
                      <w:sz w:val="20"/>
                      <w:szCs w:val="20"/>
                      <w:highlight w:val="none"/>
                    </w:rPr>
                  </w:pPr>
                  <w:r>
                    <w:rPr>
                      <w:rFonts w:ascii="Arial Narrow" w:hAnsi="Arial Narrow" w:eastAsia="Arial Narrow" w:cs="Arial Narrow"/>
                      <w:color w:val="auto"/>
                      <w:sz w:val="20"/>
                      <w:szCs w:val="20"/>
                      <w:highlight w:val="none"/>
                      <w:lang w:bidi="ar"/>
                    </w:rPr>
                    <w:t>m2</w:t>
                  </w:r>
                </w:p>
              </w:tc>
              <w:tc>
                <w:tcPr>
                  <w:tcW w:w="10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ascii="宋体" w:hAnsi="宋体" w:cs="宋体"/>
                      <w:color w:val="auto"/>
                      <w:sz w:val="20"/>
                      <w:szCs w:val="20"/>
                      <w:highlight w:val="none"/>
                    </w:rPr>
                  </w:pPr>
                  <w:r>
                    <w:rPr>
                      <w:rFonts w:hint="eastAsia" w:ascii="宋体" w:hAnsi="宋体" w:eastAsia="宋体" w:cs="宋体"/>
                      <w:i w:val="0"/>
                      <w:iCs w:val="0"/>
                      <w:color w:val="000000"/>
                      <w:kern w:val="0"/>
                      <w:sz w:val="20"/>
                      <w:szCs w:val="20"/>
                      <w:u w:val="none"/>
                      <w:lang w:val="en-US" w:eastAsia="zh-CN" w:bidi="ar"/>
                    </w:rPr>
                    <w:t xml:space="preserve">126.84 </w:t>
                  </w:r>
                </w:p>
              </w:tc>
              <w:tc>
                <w:tcPr>
                  <w:tcW w:w="61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720" w:hRule="atLeast"/>
                <w:jc w:val="center"/>
              </w:trPr>
              <w:tc>
                <w:tcPr>
                  <w:tcW w:w="4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bCs/>
                      <w:color w:val="auto"/>
                      <w:sz w:val="20"/>
                      <w:szCs w:val="20"/>
                      <w:highlight w:val="none"/>
                    </w:rPr>
                  </w:pPr>
                  <w:r>
                    <w:rPr>
                      <w:rFonts w:hint="eastAsia" w:ascii="宋体" w:hAnsi="宋体" w:cs="宋体"/>
                      <w:b/>
                      <w:bCs/>
                      <w:color w:val="auto"/>
                      <w:sz w:val="20"/>
                      <w:szCs w:val="20"/>
                      <w:highlight w:val="none"/>
                      <w:lang w:bidi="ar"/>
                    </w:rPr>
                    <w:t>四</w:t>
                  </w:r>
                </w:p>
              </w:tc>
              <w:tc>
                <w:tcPr>
                  <w:tcW w:w="514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Narrow" w:hAnsi="Arial Narrow" w:eastAsia="Arial Narrow" w:cs="Arial Narrow"/>
                      <w:color w:val="auto"/>
                      <w:sz w:val="20"/>
                      <w:szCs w:val="20"/>
                      <w:highlight w:val="none"/>
                    </w:rPr>
                  </w:pPr>
                  <w:r>
                    <w:rPr>
                      <w:rFonts w:hint="eastAsia" w:ascii="宋体" w:hAnsi="宋体" w:cs="宋体"/>
                      <w:b/>
                      <w:bCs/>
                      <w:color w:val="auto"/>
                      <w:sz w:val="20"/>
                      <w:szCs w:val="20"/>
                      <w:highlight w:val="none"/>
                      <w:lang w:bidi="ar"/>
                    </w:rPr>
                    <w:t xml:space="preserve"> 门窗工程 </w:t>
                  </w:r>
                </w:p>
              </w:tc>
              <w:tc>
                <w:tcPr>
                  <w:tcW w:w="107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 w:val="20"/>
                      <w:szCs w:val="20"/>
                      <w:highlight w:val="none"/>
                    </w:rPr>
                  </w:pP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Narrow" w:hAnsi="Arial Narrow" w:eastAsia="Arial Narrow" w:cs="Arial Narrow"/>
                      <w:color w:val="auto"/>
                      <w:sz w:val="20"/>
                      <w:szCs w:val="20"/>
                      <w:highlight w:val="none"/>
                    </w:rPr>
                  </w:pPr>
                </w:p>
              </w:tc>
              <w:tc>
                <w:tcPr>
                  <w:tcW w:w="10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auto"/>
                      <w:sz w:val="20"/>
                      <w:szCs w:val="20"/>
                      <w:highlight w:val="none"/>
                    </w:rPr>
                  </w:pPr>
                </w:p>
              </w:tc>
              <w:tc>
                <w:tcPr>
                  <w:tcW w:w="6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380" w:hRule="atLeast"/>
                <w:jc w:val="center"/>
              </w:trPr>
              <w:tc>
                <w:tcPr>
                  <w:tcW w:w="4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Arial Narrow" w:hAnsi="Arial Narrow" w:eastAsia="Arial Narrow" w:cs="Arial Narrow"/>
                      <w:color w:val="auto"/>
                      <w:sz w:val="20"/>
                      <w:szCs w:val="20"/>
                      <w:highlight w:val="none"/>
                    </w:rPr>
                  </w:pPr>
                  <w:r>
                    <w:rPr>
                      <w:rFonts w:hint="default" w:ascii="Arial Narrow" w:hAnsi="Arial Narrow" w:eastAsia="Arial Narrow" w:cs="Arial Narrow"/>
                      <w:i w:val="0"/>
                      <w:iCs w:val="0"/>
                      <w:color w:val="000000"/>
                      <w:kern w:val="0"/>
                      <w:sz w:val="20"/>
                      <w:szCs w:val="20"/>
                      <w:u w:val="none"/>
                      <w:lang w:val="en-US" w:eastAsia="zh-CN" w:bidi="ar"/>
                    </w:rPr>
                    <w:t>1</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cs="宋体"/>
                      <w:color w:val="auto"/>
                      <w:sz w:val="20"/>
                      <w:szCs w:val="20"/>
                      <w:highlight w:val="none"/>
                    </w:rPr>
                  </w:pPr>
                  <w:r>
                    <w:rPr>
                      <w:rFonts w:hint="eastAsia" w:ascii="宋体" w:hAnsi="宋体" w:eastAsia="宋体" w:cs="宋体"/>
                      <w:i w:val="0"/>
                      <w:iCs w:val="0"/>
                      <w:color w:val="000000"/>
                      <w:kern w:val="0"/>
                      <w:sz w:val="20"/>
                      <w:szCs w:val="20"/>
                      <w:u w:val="none"/>
                      <w:lang w:val="en-US" w:eastAsia="zh-CN" w:bidi="ar"/>
                    </w:rPr>
                    <w:t>辅房单开手推门</w:t>
                  </w:r>
                </w:p>
              </w:tc>
              <w:tc>
                <w:tcPr>
                  <w:tcW w:w="435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cs="宋体"/>
                      <w:color w:val="auto"/>
                      <w:sz w:val="20"/>
                      <w:szCs w:val="20"/>
                      <w:highlight w:val="none"/>
                    </w:rPr>
                  </w:pPr>
                  <w:r>
                    <w:rPr>
                      <w:rFonts w:hint="eastAsia" w:ascii="宋体" w:hAnsi="宋体" w:eastAsia="宋体" w:cs="宋体"/>
                      <w:i w:val="0"/>
                      <w:iCs w:val="0"/>
                      <w:color w:val="000000"/>
                      <w:kern w:val="0"/>
                      <w:sz w:val="20"/>
                      <w:szCs w:val="20"/>
                      <w:u w:val="none"/>
                      <w:lang w:val="en-US" w:eastAsia="zh-CN" w:bidi="ar"/>
                    </w:rPr>
                    <w:t>1.名称：辅房单开手推门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2.代号：DT4</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3.规格：1000*2200mm单开,铝合金门框，观察窗</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4.工作内容：校正框扇,安装观察窗,装配五金,焊接、框周边塞缝等。要求详见招标文件</w:t>
                  </w:r>
                </w:p>
              </w:tc>
              <w:tc>
                <w:tcPr>
                  <w:tcW w:w="10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cs="宋体"/>
                      <w:color w:val="auto"/>
                      <w:sz w:val="20"/>
                      <w:szCs w:val="20"/>
                      <w:highlight w:val="none"/>
                    </w:rPr>
                  </w:pPr>
                  <w:r>
                    <w:rPr>
                      <w:rFonts w:hint="eastAsia" w:ascii="宋体" w:hAnsi="宋体" w:eastAsia="宋体" w:cs="宋体"/>
                      <w:i w:val="0"/>
                      <w:iCs w:val="0"/>
                      <w:color w:val="000000"/>
                      <w:kern w:val="0"/>
                      <w:sz w:val="20"/>
                      <w:szCs w:val="20"/>
                      <w:u w:val="none"/>
                      <w:lang w:val="en-US" w:eastAsia="zh-CN" w:bidi="ar"/>
                    </w:rPr>
                    <w:t>欧尼克、格满林、德科</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cs="宋体"/>
                      <w:color w:val="auto"/>
                      <w:sz w:val="20"/>
                      <w:szCs w:val="20"/>
                      <w:highlight w:val="none"/>
                    </w:rPr>
                  </w:pPr>
                  <w:r>
                    <w:rPr>
                      <w:rFonts w:hint="eastAsia" w:ascii="宋体" w:hAnsi="宋体" w:eastAsia="宋体" w:cs="宋体"/>
                      <w:i w:val="0"/>
                      <w:iCs w:val="0"/>
                      <w:color w:val="000000"/>
                      <w:kern w:val="0"/>
                      <w:sz w:val="20"/>
                      <w:szCs w:val="20"/>
                      <w:u w:val="none"/>
                      <w:lang w:val="en-US" w:eastAsia="zh-CN" w:bidi="ar"/>
                    </w:rPr>
                    <w:t>樘</w:t>
                  </w:r>
                </w:p>
              </w:tc>
              <w:tc>
                <w:tcPr>
                  <w:tcW w:w="10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ascii="宋体" w:hAnsi="宋体" w:cs="宋体"/>
                      <w:color w:val="auto"/>
                      <w:sz w:val="20"/>
                      <w:szCs w:val="20"/>
                      <w:highlight w:val="none"/>
                    </w:rPr>
                  </w:pPr>
                  <w:r>
                    <w:rPr>
                      <w:rFonts w:hint="eastAsia" w:ascii="宋体" w:hAnsi="宋体" w:eastAsia="宋体" w:cs="宋体"/>
                      <w:i w:val="0"/>
                      <w:iCs w:val="0"/>
                      <w:color w:val="000000"/>
                      <w:kern w:val="0"/>
                      <w:sz w:val="20"/>
                      <w:szCs w:val="20"/>
                      <w:u w:val="none"/>
                      <w:lang w:val="en-US" w:eastAsia="zh-CN" w:bidi="ar"/>
                    </w:rPr>
                    <w:t xml:space="preserve">29.00 </w:t>
                  </w:r>
                </w:p>
              </w:tc>
              <w:tc>
                <w:tcPr>
                  <w:tcW w:w="6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380" w:hRule="atLeast"/>
                <w:jc w:val="center"/>
              </w:trPr>
              <w:tc>
                <w:tcPr>
                  <w:tcW w:w="4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Arial Narrow" w:hAnsi="Arial Narrow" w:eastAsia="Arial Narrow" w:cs="Arial Narrow"/>
                      <w:color w:val="auto"/>
                      <w:sz w:val="20"/>
                      <w:szCs w:val="20"/>
                      <w:highlight w:val="none"/>
                    </w:rPr>
                  </w:pPr>
                  <w:r>
                    <w:rPr>
                      <w:rFonts w:hint="default" w:ascii="Arial Narrow" w:hAnsi="Arial Narrow" w:eastAsia="Arial Narrow" w:cs="Arial Narrow"/>
                      <w:i w:val="0"/>
                      <w:iCs w:val="0"/>
                      <w:color w:val="000000"/>
                      <w:kern w:val="0"/>
                      <w:sz w:val="20"/>
                      <w:szCs w:val="20"/>
                      <w:u w:val="none"/>
                      <w:lang w:val="en-US" w:eastAsia="zh-CN" w:bidi="ar"/>
                    </w:rPr>
                    <w:t>2</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cs="宋体"/>
                      <w:color w:val="auto"/>
                      <w:sz w:val="20"/>
                      <w:szCs w:val="20"/>
                      <w:highlight w:val="none"/>
                    </w:rPr>
                  </w:pPr>
                  <w:r>
                    <w:rPr>
                      <w:rFonts w:hint="eastAsia" w:ascii="宋体" w:hAnsi="宋体" w:eastAsia="宋体" w:cs="宋体"/>
                      <w:i w:val="0"/>
                      <w:iCs w:val="0"/>
                      <w:color w:val="000000"/>
                      <w:kern w:val="0"/>
                      <w:sz w:val="20"/>
                      <w:szCs w:val="20"/>
                      <w:u w:val="none"/>
                      <w:lang w:val="en-US" w:eastAsia="zh-CN" w:bidi="ar"/>
                    </w:rPr>
                    <w:t>辅房单开手推门</w:t>
                  </w:r>
                </w:p>
              </w:tc>
              <w:tc>
                <w:tcPr>
                  <w:tcW w:w="435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cs="宋体"/>
                      <w:color w:val="auto"/>
                      <w:sz w:val="20"/>
                      <w:szCs w:val="20"/>
                      <w:highlight w:val="none"/>
                    </w:rPr>
                  </w:pPr>
                  <w:r>
                    <w:rPr>
                      <w:rFonts w:hint="eastAsia" w:ascii="宋体" w:hAnsi="宋体" w:eastAsia="宋体" w:cs="宋体"/>
                      <w:i w:val="0"/>
                      <w:iCs w:val="0"/>
                      <w:color w:val="000000"/>
                      <w:kern w:val="0"/>
                      <w:sz w:val="20"/>
                      <w:szCs w:val="20"/>
                      <w:u w:val="none"/>
                      <w:lang w:val="en-US" w:eastAsia="zh-CN" w:bidi="ar"/>
                    </w:rPr>
                    <w:t>1.名称：辅房单开手推门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2.代号：PT4</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3.规格：1000*2200mm单开,铝合金门框，观察窗</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4.工作内容：校正框扇,安装观察窗,装配五金,焊接、框周边塞缝等。要求详见招标文件</w:t>
                  </w:r>
                </w:p>
              </w:tc>
              <w:tc>
                <w:tcPr>
                  <w:tcW w:w="10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cs="宋体"/>
                      <w:color w:val="auto"/>
                      <w:sz w:val="20"/>
                      <w:szCs w:val="20"/>
                      <w:highlight w:val="none"/>
                    </w:rPr>
                  </w:pPr>
                  <w:r>
                    <w:rPr>
                      <w:rFonts w:hint="eastAsia" w:ascii="宋体" w:hAnsi="宋体" w:eastAsia="宋体" w:cs="宋体"/>
                      <w:i w:val="0"/>
                      <w:iCs w:val="0"/>
                      <w:color w:val="000000"/>
                      <w:kern w:val="0"/>
                      <w:sz w:val="20"/>
                      <w:szCs w:val="20"/>
                      <w:u w:val="none"/>
                      <w:lang w:val="en-US" w:eastAsia="zh-CN" w:bidi="ar"/>
                    </w:rPr>
                    <w:t>欧尼克、格满林、德科</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cs="宋体"/>
                      <w:color w:val="auto"/>
                      <w:sz w:val="20"/>
                      <w:szCs w:val="20"/>
                      <w:highlight w:val="none"/>
                    </w:rPr>
                  </w:pPr>
                  <w:r>
                    <w:rPr>
                      <w:rFonts w:hint="eastAsia" w:ascii="宋体" w:hAnsi="宋体" w:eastAsia="宋体" w:cs="宋体"/>
                      <w:i w:val="0"/>
                      <w:iCs w:val="0"/>
                      <w:color w:val="000000"/>
                      <w:kern w:val="0"/>
                      <w:sz w:val="20"/>
                      <w:szCs w:val="20"/>
                      <w:u w:val="none"/>
                      <w:lang w:val="en-US" w:eastAsia="zh-CN" w:bidi="ar"/>
                    </w:rPr>
                    <w:t>樘</w:t>
                  </w:r>
                </w:p>
              </w:tc>
              <w:tc>
                <w:tcPr>
                  <w:tcW w:w="10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ascii="宋体" w:hAnsi="宋体" w:cs="宋体"/>
                      <w:color w:val="auto"/>
                      <w:sz w:val="20"/>
                      <w:szCs w:val="20"/>
                      <w:highlight w:val="none"/>
                    </w:rPr>
                  </w:pPr>
                  <w:r>
                    <w:rPr>
                      <w:rFonts w:hint="eastAsia" w:ascii="宋体" w:hAnsi="宋体" w:eastAsia="宋体" w:cs="宋体"/>
                      <w:i w:val="0"/>
                      <w:iCs w:val="0"/>
                      <w:color w:val="000000"/>
                      <w:kern w:val="0"/>
                      <w:sz w:val="20"/>
                      <w:szCs w:val="20"/>
                      <w:u w:val="none"/>
                      <w:lang w:val="en-US" w:eastAsia="zh-CN" w:bidi="ar"/>
                    </w:rPr>
                    <w:t xml:space="preserve">4.00 </w:t>
                  </w:r>
                </w:p>
              </w:tc>
              <w:tc>
                <w:tcPr>
                  <w:tcW w:w="6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461" w:hRule="atLeast"/>
                <w:jc w:val="center"/>
              </w:trPr>
              <w:tc>
                <w:tcPr>
                  <w:tcW w:w="4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Arial Narrow" w:hAnsi="Arial Narrow" w:eastAsia="Arial Narrow" w:cs="Arial Narrow"/>
                      <w:color w:val="auto"/>
                      <w:sz w:val="20"/>
                      <w:szCs w:val="20"/>
                      <w:highlight w:val="none"/>
                    </w:rPr>
                  </w:pPr>
                  <w:r>
                    <w:rPr>
                      <w:rFonts w:hint="default" w:ascii="Arial Narrow" w:hAnsi="Arial Narrow" w:eastAsia="Arial Narrow" w:cs="Arial Narrow"/>
                      <w:i w:val="0"/>
                      <w:iCs w:val="0"/>
                      <w:color w:val="000000"/>
                      <w:kern w:val="0"/>
                      <w:sz w:val="20"/>
                      <w:szCs w:val="20"/>
                      <w:u w:val="none"/>
                      <w:lang w:val="en-US" w:eastAsia="zh-CN" w:bidi="ar"/>
                    </w:rPr>
                    <w:t>3</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cs="宋体"/>
                      <w:color w:val="auto"/>
                      <w:sz w:val="20"/>
                      <w:szCs w:val="20"/>
                      <w:highlight w:val="none"/>
                    </w:rPr>
                  </w:pPr>
                  <w:r>
                    <w:rPr>
                      <w:rFonts w:hint="eastAsia" w:ascii="宋体" w:hAnsi="宋体" w:eastAsia="宋体" w:cs="宋体"/>
                      <w:i w:val="0"/>
                      <w:iCs w:val="0"/>
                      <w:color w:val="000000"/>
                      <w:kern w:val="0"/>
                      <w:sz w:val="20"/>
                      <w:szCs w:val="20"/>
                      <w:u w:val="none"/>
                      <w:lang w:val="en-US" w:eastAsia="zh-CN" w:bidi="ar"/>
                    </w:rPr>
                    <w:t>辅房单开手推门</w:t>
                  </w:r>
                </w:p>
              </w:tc>
              <w:tc>
                <w:tcPr>
                  <w:tcW w:w="435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cs="宋体"/>
                      <w:color w:val="auto"/>
                      <w:sz w:val="20"/>
                      <w:szCs w:val="20"/>
                      <w:highlight w:val="none"/>
                    </w:rPr>
                  </w:pPr>
                  <w:r>
                    <w:rPr>
                      <w:rFonts w:hint="eastAsia" w:ascii="宋体" w:hAnsi="宋体" w:eastAsia="宋体" w:cs="宋体"/>
                      <w:i w:val="0"/>
                      <w:iCs w:val="0"/>
                      <w:color w:val="000000"/>
                      <w:kern w:val="0"/>
                      <w:sz w:val="20"/>
                      <w:szCs w:val="20"/>
                      <w:u w:val="none"/>
                      <w:lang w:val="en-US" w:eastAsia="zh-CN" w:bidi="ar"/>
                    </w:rPr>
                    <w:t>1.名称：辅房单开手推门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2.代号：M0924</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3.规格：900*2400mm单开,铝合金门框，观察窗</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4.工作内容：校正框扇,安装观察窗,装配五金,焊接、框周边塞缝等。要求详见招标文件</w:t>
                  </w:r>
                </w:p>
              </w:tc>
              <w:tc>
                <w:tcPr>
                  <w:tcW w:w="10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cs="宋体"/>
                      <w:color w:val="auto"/>
                      <w:sz w:val="20"/>
                      <w:szCs w:val="20"/>
                      <w:highlight w:val="none"/>
                    </w:rPr>
                  </w:pPr>
                  <w:r>
                    <w:rPr>
                      <w:rFonts w:hint="eastAsia" w:ascii="宋体" w:hAnsi="宋体" w:eastAsia="宋体" w:cs="宋体"/>
                      <w:i w:val="0"/>
                      <w:iCs w:val="0"/>
                      <w:color w:val="000000"/>
                      <w:kern w:val="0"/>
                      <w:sz w:val="20"/>
                      <w:szCs w:val="20"/>
                      <w:u w:val="none"/>
                      <w:lang w:val="en-US" w:eastAsia="zh-CN" w:bidi="ar"/>
                    </w:rPr>
                    <w:t>欧尼克、格满林、德科</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cs="宋体"/>
                      <w:color w:val="auto"/>
                      <w:sz w:val="20"/>
                      <w:szCs w:val="20"/>
                      <w:highlight w:val="none"/>
                    </w:rPr>
                  </w:pPr>
                  <w:r>
                    <w:rPr>
                      <w:rFonts w:hint="eastAsia" w:ascii="宋体" w:hAnsi="宋体" w:eastAsia="宋体" w:cs="宋体"/>
                      <w:i w:val="0"/>
                      <w:iCs w:val="0"/>
                      <w:color w:val="000000"/>
                      <w:kern w:val="0"/>
                      <w:sz w:val="20"/>
                      <w:szCs w:val="20"/>
                      <w:u w:val="none"/>
                      <w:lang w:val="en-US" w:eastAsia="zh-CN" w:bidi="ar"/>
                    </w:rPr>
                    <w:t>樘</w:t>
                  </w:r>
                </w:p>
              </w:tc>
              <w:tc>
                <w:tcPr>
                  <w:tcW w:w="10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ascii="宋体" w:hAnsi="宋体" w:cs="宋体"/>
                      <w:color w:val="auto"/>
                      <w:sz w:val="20"/>
                      <w:szCs w:val="20"/>
                      <w:highlight w:val="none"/>
                    </w:rPr>
                  </w:pPr>
                  <w:r>
                    <w:rPr>
                      <w:rFonts w:hint="eastAsia" w:ascii="宋体" w:hAnsi="宋体" w:eastAsia="宋体" w:cs="宋体"/>
                      <w:i w:val="0"/>
                      <w:iCs w:val="0"/>
                      <w:color w:val="000000"/>
                      <w:kern w:val="0"/>
                      <w:sz w:val="20"/>
                      <w:szCs w:val="20"/>
                      <w:u w:val="none"/>
                      <w:lang w:val="en-US" w:eastAsia="zh-CN" w:bidi="ar"/>
                    </w:rPr>
                    <w:t xml:space="preserve">4.00 </w:t>
                  </w:r>
                </w:p>
              </w:tc>
              <w:tc>
                <w:tcPr>
                  <w:tcW w:w="6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461" w:hRule="atLeast"/>
                <w:jc w:val="center"/>
              </w:trPr>
              <w:tc>
                <w:tcPr>
                  <w:tcW w:w="4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Arial Narrow" w:hAnsi="Arial Narrow" w:eastAsia="Arial Narrow" w:cs="Arial Narrow"/>
                      <w:color w:val="auto"/>
                      <w:sz w:val="20"/>
                      <w:szCs w:val="20"/>
                      <w:highlight w:val="none"/>
                    </w:rPr>
                  </w:pPr>
                  <w:r>
                    <w:rPr>
                      <w:rFonts w:hint="default" w:ascii="Arial Narrow" w:hAnsi="Arial Narrow" w:eastAsia="Arial Narrow" w:cs="Arial Narrow"/>
                      <w:i w:val="0"/>
                      <w:iCs w:val="0"/>
                      <w:color w:val="000000"/>
                      <w:kern w:val="0"/>
                      <w:sz w:val="20"/>
                      <w:szCs w:val="20"/>
                      <w:u w:val="none"/>
                      <w:lang w:val="en-US" w:eastAsia="zh-CN" w:bidi="ar"/>
                    </w:rPr>
                    <w:t>4</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cs="宋体"/>
                      <w:color w:val="auto"/>
                      <w:sz w:val="20"/>
                      <w:szCs w:val="20"/>
                      <w:highlight w:val="none"/>
                    </w:rPr>
                  </w:pPr>
                  <w:r>
                    <w:rPr>
                      <w:rFonts w:hint="eastAsia" w:ascii="宋体" w:hAnsi="宋体" w:eastAsia="宋体" w:cs="宋体"/>
                      <w:i w:val="0"/>
                      <w:iCs w:val="0"/>
                      <w:color w:val="000000"/>
                      <w:kern w:val="0"/>
                      <w:sz w:val="20"/>
                      <w:szCs w:val="20"/>
                      <w:u w:val="none"/>
                      <w:lang w:val="en-US" w:eastAsia="zh-CN" w:bidi="ar"/>
                    </w:rPr>
                    <w:t>辅房单开手推门</w:t>
                  </w:r>
                </w:p>
              </w:tc>
              <w:tc>
                <w:tcPr>
                  <w:tcW w:w="435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cs="宋体"/>
                      <w:color w:val="auto"/>
                      <w:sz w:val="20"/>
                      <w:szCs w:val="20"/>
                      <w:highlight w:val="none"/>
                    </w:rPr>
                  </w:pPr>
                  <w:r>
                    <w:rPr>
                      <w:rFonts w:hint="eastAsia" w:ascii="宋体" w:hAnsi="宋体" w:eastAsia="宋体" w:cs="宋体"/>
                      <w:i w:val="0"/>
                      <w:iCs w:val="0"/>
                      <w:color w:val="000000"/>
                      <w:kern w:val="0"/>
                      <w:sz w:val="20"/>
                      <w:szCs w:val="20"/>
                      <w:u w:val="none"/>
                      <w:lang w:val="en-US" w:eastAsia="zh-CN" w:bidi="ar"/>
                    </w:rPr>
                    <w:t>1.名称：辅房单开手推门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2.代号：M1024</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3.规格：1000*2400mm单开,铝合金门框，观察窗</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4.工作内容：校正框扇,安装观察窗,装配五金,焊接、框周边塞缝等。要求详见招标文件</w:t>
                  </w:r>
                </w:p>
              </w:tc>
              <w:tc>
                <w:tcPr>
                  <w:tcW w:w="10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cs="宋体"/>
                      <w:color w:val="auto"/>
                      <w:sz w:val="20"/>
                      <w:szCs w:val="20"/>
                      <w:highlight w:val="none"/>
                    </w:rPr>
                  </w:pPr>
                  <w:r>
                    <w:rPr>
                      <w:rFonts w:hint="eastAsia" w:ascii="宋体" w:hAnsi="宋体" w:eastAsia="宋体" w:cs="宋体"/>
                      <w:i w:val="0"/>
                      <w:iCs w:val="0"/>
                      <w:color w:val="000000"/>
                      <w:kern w:val="0"/>
                      <w:sz w:val="20"/>
                      <w:szCs w:val="20"/>
                      <w:u w:val="none"/>
                      <w:lang w:val="en-US" w:eastAsia="zh-CN" w:bidi="ar"/>
                    </w:rPr>
                    <w:t>欧尼克、格满林、德科</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cs="宋体"/>
                      <w:color w:val="auto"/>
                      <w:sz w:val="20"/>
                      <w:szCs w:val="20"/>
                      <w:highlight w:val="none"/>
                    </w:rPr>
                  </w:pPr>
                  <w:r>
                    <w:rPr>
                      <w:rFonts w:hint="eastAsia" w:ascii="宋体" w:hAnsi="宋体" w:eastAsia="宋体" w:cs="宋体"/>
                      <w:i w:val="0"/>
                      <w:iCs w:val="0"/>
                      <w:color w:val="000000"/>
                      <w:kern w:val="0"/>
                      <w:sz w:val="20"/>
                      <w:szCs w:val="20"/>
                      <w:u w:val="none"/>
                      <w:lang w:val="en-US" w:eastAsia="zh-CN" w:bidi="ar"/>
                    </w:rPr>
                    <w:t>樘</w:t>
                  </w:r>
                </w:p>
              </w:tc>
              <w:tc>
                <w:tcPr>
                  <w:tcW w:w="10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ascii="宋体" w:hAnsi="宋体" w:cs="宋体"/>
                      <w:color w:val="auto"/>
                      <w:sz w:val="20"/>
                      <w:szCs w:val="20"/>
                      <w:highlight w:val="none"/>
                    </w:rPr>
                  </w:pPr>
                  <w:r>
                    <w:rPr>
                      <w:rFonts w:hint="eastAsia" w:ascii="宋体" w:hAnsi="宋体" w:eastAsia="宋体" w:cs="宋体"/>
                      <w:i w:val="0"/>
                      <w:iCs w:val="0"/>
                      <w:color w:val="000000"/>
                      <w:kern w:val="0"/>
                      <w:sz w:val="20"/>
                      <w:szCs w:val="20"/>
                      <w:u w:val="none"/>
                      <w:lang w:val="en-US" w:eastAsia="zh-CN" w:bidi="ar"/>
                    </w:rPr>
                    <w:t xml:space="preserve">19.00 </w:t>
                  </w:r>
                </w:p>
              </w:tc>
              <w:tc>
                <w:tcPr>
                  <w:tcW w:w="6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461" w:hRule="atLeast"/>
                <w:jc w:val="center"/>
              </w:trPr>
              <w:tc>
                <w:tcPr>
                  <w:tcW w:w="4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Arial Narrow" w:hAnsi="Arial Narrow" w:eastAsia="Arial Narrow" w:cs="Arial Narrow"/>
                      <w:color w:val="auto"/>
                      <w:sz w:val="20"/>
                      <w:szCs w:val="20"/>
                      <w:highlight w:val="none"/>
                    </w:rPr>
                  </w:pPr>
                  <w:r>
                    <w:rPr>
                      <w:rFonts w:hint="default" w:ascii="Arial Narrow" w:hAnsi="Arial Narrow" w:eastAsia="Arial Narrow" w:cs="Arial Narrow"/>
                      <w:i w:val="0"/>
                      <w:iCs w:val="0"/>
                      <w:color w:val="000000"/>
                      <w:kern w:val="0"/>
                      <w:sz w:val="20"/>
                      <w:szCs w:val="20"/>
                      <w:u w:val="none"/>
                      <w:lang w:val="en-US" w:eastAsia="zh-CN" w:bidi="ar"/>
                    </w:rPr>
                    <w:t>5</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cs="宋体"/>
                      <w:color w:val="auto"/>
                      <w:sz w:val="20"/>
                      <w:szCs w:val="20"/>
                      <w:highlight w:val="none"/>
                    </w:rPr>
                  </w:pPr>
                  <w:r>
                    <w:rPr>
                      <w:rFonts w:hint="eastAsia" w:ascii="宋体" w:hAnsi="宋体" w:eastAsia="宋体" w:cs="宋体"/>
                      <w:i w:val="0"/>
                      <w:iCs w:val="0"/>
                      <w:color w:val="000000"/>
                      <w:kern w:val="0"/>
                      <w:sz w:val="20"/>
                      <w:szCs w:val="20"/>
                      <w:u w:val="none"/>
                      <w:lang w:val="en-US" w:eastAsia="zh-CN" w:bidi="ar"/>
                    </w:rPr>
                    <w:t>辅房单开手推门</w:t>
                  </w:r>
                </w:p>
              </w:tc>
              <w:tc>
                <w:tcPr>
                  <w:tcW w:w="435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cs="宋体"/>
                      <w:color w:val="auto"/>
                      <w:sz w:val="20"/>
                      <w:szCs w:val="20"/>
                      <w:highlight w:val="none"/>
                    </w:rPr>
                  </w:pPr>
                  <w:r>
                    <w:rPr>
                      <w:rFonts w:hint="eastAsia" w:ascii="宋体" w:hAnsi="宋体" w:eastAsia="宋体" w:cs="宋体"/>
                      <w:i w:val="0"/>
                      <w:iCs w:val="0"/>
                      <w:color w:val="000000"/>
                      <w:kern w:val="0"/>
                      <w:sz w:val="20"/>
                      <w:szCs w:val="20"/>
                      <w:u w:val="none"/>
                      <w:lang w:val="en-US" w:eastAsia="zh-CN" w:bidi="ar"/>
                    </w:rPr>
                    <w:t>1.名称：辅房单开手推门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2.代号：M1324</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3.规格：1300*2400mm双开,铝合金门框，观察窗</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4.工作内容：校正框扇,安装观察窗,装配五金,焊接、框周边塞缝等。要求详见招标文件</w:t>
                  </w:r>
                </w:p>
              </w:tc>
              <w:tc>
                <w:tcPr>
                  <w:tcW w:w="10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cs="宋体"/>
                      <w:color w:val="auto"/>
                      <w:sz w:val="20"/>
                      <w:szCs w:val="20"/>
                      <w:highlight w:val="none"/>
                    </w:rPr>
                  </w:pPr>
                  <w:r>
                    <w:rPr>
                      <w:rFonts w:hint="eastAsia" w:ascii="宋体" w:hAnsi="宋体" w:eastAsia="宋体" w:cs="宋体"/>
                      <w:i w:val="0"/>
                      <w:iCs w:val="0"/>
                      <w:color w:val="000000"/>
                      <w:kern w:val="0"/>
                      <w:sz w:val="20"/>
                      <w:szCs w:val="20"/>
                      <w:u w:val="none"/>
                      <w:lang w:val="en-US" w:eastAsia="zh-CN" w:bidi="ar"/>
                    </w:rPr>
                    <w:t>欧尼克、格满林、德科</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cs="宋体"/>
                      <w:color w:val="auto"/>
                      <w:sz w:val="20"/>
                      <w:szCs w:val="20"/>
                      <w:highlight w:val="none"/>
                    </w:rPr>
                  </w:pPr>
                  <w:r>
                    <w:rPr>
                      <w:rFonts w:hint="eastAsia" w:ascii="宋体" w:hAnsi="宋体" w:eastAsia="宋体" w:cs="宋体"/>
                      <w:i w:val="0"/>
                      <w:iCs w:val="0"/>
                      <w:color w:val="000000"/>
                      <w:kern w:val="0"/>
                      <w:sz w:val="20"/>
                      <w:szCs w:val="20"/>
                      <w:u w:val="none"/>
                      <w:lang w:val="en-US" w:eastAsia="zh-CN" w:bidi="ar"/>
                    </w:rPr>
                    <w:t>樘</w:t>
                  </w:r>
                </w:p>
              </w:tc>
              <w:tc>
                <w:tcPr>
                  <w:tcW w:w="10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ascii="宋体" w:hAnsi="宋体" w:cs="宋体"/>
                      <w:color w:val="auto"/>
                      <w:sz w:val="20"/>
                      <w:szCs w:val="20"/>
                      <w:highlight w:val="none"/>
                    </w:rPr>
                  </w:pPr>
                  <w:r>
                    <w:rPr>
                      <w:rFonts w:hint="eastAsia" w:ascii="宋体" w:hAnsi="宋体" w:eastAsia="宋体" w:cs="宋体"/>
                      <w:i w:val="0"/>
                      <w:iCs w:val="0"/>
                      <w:color w:val="000000"/>
                      <w:kern w:val="0"/>
                      <w:sz w:val="20"/>
                      <w:szCs w:val="20"/>
                      <w:u w:val="none"/>
                      <w:lang w:val="en-US" w:eastAsia="zh-CN" w:bidi="ar"/>
                    </w:rPr>
                    <w:t xml:space="preserve">6.00 </w:t>
                  </w:r>
                </w:p>
              </w:tc>
              <w:tc>
                <w:tcPr>
                  <w:tcW w:w="6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461" w:hRule="atLeast"/>
                <w:jc w:val="center"/>
              </w:trPr>
              <w:tc>
                <w:tcPr>
                  <w:tcW w:w="4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Arial Narrow" w:hAnsi="Arial Narrow" w:eastAsia="Arial Narrow" w:cs="Arial Narrow"/>
                      <w:color w:val="auto"/>
                      <w:sz w:val="20"/>
                      <w:szCs w:val="20"/>
                      <w:highlight w:val="none"/>
                    </w:rPr>
                  </w:pPr>
                  <w:r>
                    <w:rPr>
                      <w:rFonts w:hint="default" w:ascii="Arial Narrow" w:hAnsi="Arial Narrow" w:eastAsia="Arial Narrow" w:cs="Arial Narrow"/>
                      <w:i w:val="0"/>
                      <w:iCs w:val="0"/>
                      <w:color w:val="000000"/>
                      <w:kern w:val="0"/>
                      <w:sz w:val="20"/>
                      <w:szCs w:val="20"/>
                      <w:u w:val="none"/>
                      <w:lang w:val="en-US" w:eastAsia="zh-CN" w:bidi="ar"/>
                    </w:rPr>
                    <w:t>6</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cs="宋体"/>
                      <w:color w:val="auto"/>
                      <w:sz w:val="20"/>
                      <w:szCs w:val="20"/>
                      <w:highlight w:val="none"/>
                    </w:rPr>
                  </w:pPr>
                  <w:r>
                    <w:rPr>
                      <w:rFonts w:hint="eastAsia" w:ascii="宋体" w:hAnsi="宋体" w:eastAsia="宋体" w:cs="宋体"/>
                      <w:i w:val="0"/>
                      <w:iCs w:val="0"/>
                      <w:color w:val="000000"/>
                      <w:kern w:val="0"/>
                      <w:sz w:val="20"/>
                      <w:szCs w:val="20"/>
                      <w:u w:val="none"/>
                      <w:lang w:val="en-US" w:eastAsia="zh-CN" w:bidi="ar"/>
                    </w:rPr>
                    <w:t>辅房双开手推门</w:t>
                  </w:r>
                </w:p>
              </w:tc>
              <w:tc>
                <w:tcPr>
                  <w:tcW w:w="435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cs="宋体"/>
                      <w:color w:val="auto"/>
                      <w:sz w:val="20"/>
                      <w:szCs w:val="20"/>
                      <w:highlight w:val="none"/>
                    </w:rPr>
                  </w:pPr>
                  <w:r>
                    <w:rPr>
                      <w:rFonts w:hint="eastAsia" w:ascii="宋体" w:hAnsi="宋体" w:eastAsia="宋体" w:cs="宋体"/>
                      <w:i w:val="0"/>
                      <w:iCs w:val="0"/>
                      <w:color w:val="000000"/>
                      <w:kern w:val="0"/>
                      <w:sz w:val="20"/>
                      <w:szCs w:val="20"/>
                      <w:u w:val="none"/>
                      <w:lang w:val="en-US" w:eastAsia="zh-CN" w:bidi="ar"/>
                    </w:rPr>
                    <w:t>1.名称：辅房单开手推门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2.代号：M1524</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3.规格：1500*2400mm双开,铝合金门框，观察窗</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4.工作内容：校正框扇,安装观察窗,装配五金,焊接、框周边塞缝等。要求详见招标文件</w:t>
                  </w:r>
                </w:p>
              </w:tc>
              <w:tc>
                <w:tcPr>
                  <w:tcW w:w="10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cs="宋体"/>
                      <w:color w:val="auto"/>
                      <w:sz w:val="20"/>
                      <w:szCs w:val="20"/>
                      <w:highlight w:val="none"/>
                    </w:rPr>
                  </w:pPr>
                  <w:r>
                    <w:rPr>
                      <w:rFonts w:hint="eastAsia" w:ascii="宋体" w:hAnsi="宋体" w:eastAsia="宋体" w:cs="宋体"/>
                      <w:i w:val="0"/>
                      <w:iCs w:val="0"/>
                      <w:color w:val="000000"/>
                      <w:kern w:val="0"/>
                      <w:sz w:val="20"/>
                      <w:szCs w:val="20"/>
                      <w:u w:val="none"/>
                      <w:lang w:val="en-US" w:eastAsia="zh-CN" w:bidi="ar"/>
                    </w:rPr>
                    <w:t>欧尼克、格满林、德科</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cs="宋体"/>
                      <w:color w:val="auto"/>
                      <w:sz w:val="20"/>
                      <w:szCs w:val="20"/>
                      <w:highlight w:val="none"/>
                    </w:rPr>
                  </w:pPr>
                  <w:r>
                    <w:rPr>
                      <w:rFonts w:hint="eastAsia" w:ascii="宋体" w:hAnsi="宋体" w:eastAsia="宋体" w:cs="宋体"/>
                      <w:i w:val="0"/>
                      <w:iCs w:val="0"/>
                      <w:color w:val="000000"/>
                      <w:kern w:val="0"/>
                      <w:sz w:val="20"/>
                      <w:szCs w:val="20"/>
                      <w:u w:val="none"/>
                      <w:lang w:val="en-US" w:eastAsia="zh-CN" w:bidi="ar"/>
                    </w:rPr>
                    <w:t>樘</w:t>
                  </w:r>
                </w:p>
              </w:tc>
              <w:tc>
                <w:tcPr>
                  <w:tcW w:w="10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ascii="宋体" w:hAnsi="宋体" w:cs="宋体"/>
                      <w:color w:val="auto"/>
                      <w:sz w:val="20"/>
                      <w:szCs w:val="20"/>
                      <w:highlight w:val="none"/>
                    </w:rPr>
                  </w:pPr>
                  <w:r>
                    <w:rPr>
                      <w:rFonts w:hint="eastAsia" w:ascii="宋体" w:hAnsi="宋体" w:eastAsia="宋体" w:cs="宋体"/>
                      <w:i w:val="0"/>
                      <w:iCs w:val="0"/>
                      <w:color w:val="000000"/>
                      <w:kern w:val="0"/>
                      <w:sz w:val="20"/>
                      <w:szCs w:val="20"/>
                      <w:u w:val="none"/>
                      <w:lang w:val="en-US" w:eastAsia="zh-CN" w:bidi="ar"/>
                    </w:rPr>
                    <w:t xml:space="preserve">3.00 </w:t>
                  </w:r>
                </w:p>
              </w:tc>
              <w:tc>
                <w:tcPr>
                  <w:tcW w:w="6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875" w:hRule="atLeast"/>
                <w:jc w:val="center"/>
              </w:trPr>
              <w:tc>
                <w:tcPr>
                  <w:tcW w:w="4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Arial Narrow" w:hAnsi="Arial Narrow" w:eastAsia="Arial Narrow" w:cs="Arial Narrow"/>
                      <w:color w:val="auto"/>
                      <w:sz w:val="20"/>
                      <w:szCs w:val="20"/>
                      <w:highlight w:val="none"/>
                    </w:rPr>
                  </w:pPr>
                  <w:r>
                    <w:rPr>
                      <w:rFonts w:hint="default" w:ascii="Arial Narrow" w:hAnsi="Arial Narrow" w:eastAsia="Arial Narrow" w:cs="Arial Narrow"/>
                      <w:i w:val="0"/>
                      <w:iCs w:val="0"/>
                      <w:color w:val="000000"/>
                      <w:kern w:val="0"/>
                      <w:sz w:val="20"/>
                      <w:szCs w:val="20"/>
                      <w:u w:val="none"/>
                      <w:lang w:val="en-US" w:eastAsia="zh-CN" w:bidi="ar"/>
                    </w:rPr>
                    <w:t>7</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cs="宋体"/>
                      <w:color w:val="auto"/>
                      <w:sz w:val="20"/>
                      <w:szCs w:val="20"/>
                      <w:highlight w:val="none"/>
                    </w:rPr>
                  </w:pPr>
                  <w:r>
                    <w:rPr>
                      <w:rFonts w:hint="eastAsia" w:ascii="宋体" w:hAnsi="宋体" w:eastAsia="宋体" w:cs="宋体"/>
                      <w:i w:val="0"/>
                      <w:iCs w:val="0"/>
                      <w:color w:val="000000"/>
                      <w:kern w:val="0"/>
                      <w:sz w:val="20"/>
                      <w:szCs w:val="20"/>
                      <w:u w:val="none"/>
                      <w:lang w:val="en-US" w:eastAsia="zh-CN" w:bidi="ar"/>
                    </w:rPr>
                    <w:t>辅房双开手推门</w:t>
                  </w:r>
                </w:p>
              </w:tc>
              <w:tc>
                <w:tcPr>
                  <w:tcW w:w="435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cs="宋体"/>
                      <w:color w:val="auto"/>
                      <w:sz w:val="20"/>
                      <w:szCs w:val="20"/>
                      <w:highlight w:val="none"/>
                    </w:rPr>
                  </w:pPr>
                  <w:r>
                    <w:rPr>
                      <w:rFonts w:hint="eastAsia" w:ascii="宋体" w:hAnsi="宋体" w:eastAsia="宋体" w:cs="宋体"/>
                      <w:i w:val="0"/>
                      <w:iCs w:val="0"/>
                      <w:color w:val="000000"/>
                      <w:kern w:val="0"/>
                      <w:sz w:val="20"/>
                      <w:szCs w:val="20"/>
                      <w:u w:val="none"/>
                      <w:lang w:val="en-US" w:eastAsia="zh-CN" w:bidi="ar"/>
                    </w:rPr>
                    <w:t>1.名称：辅房单开手推门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2.代号：M1824</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3.规格：1800*2400mm双开,铝合金门框，观察窗</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4.工作内容：校正框扇,安装观察窗,装配五金,焊接、框周边塞缝等。要求详见招标文件</w:t>
                  </w:r>
                </w:p>
              </w:tc>
              <w:tc>
                <w:tcPr>
                  <w:tcW w:w="10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cs="宋体"/>
                      <w:color w:val="auto"/>
                      <w:sz w:val="20"/>
                      <w:szCs w:val="20"/>
                      <w:highlight w:val="none"/>
                    </w:rPr>
                  </w:pPr>
                  <w:r>
                    <w:rPr>
                      <w:rFonts w:hint="eastAsia" w:ascii="宋体" w:hAnsi="宋体" w:eastAsia="宋体" w:cs="宋体"/>
                      <w:i w:val="0"/>
                      <w:iCs w:val="0"/>
                      <w:color w:val="000000"/>
                      <w:kern w:val="0"/>
                      <w:sz w:val="20"/>
                      <w:szCs w:val="20"/>
                      <w:u w:val="none"/>
                      <w:lang w:val="en-US" w:eastAsia="zh-CN" w:bidi="ar"/>
                    </w:rPr>
                    <w:t>欧尼克、格满林、德科</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cs="宋体"/>
                      <w:color w:val="auto"/>
                      <w:sz w:val="20"/>
                      <w:szCs w:val="20"/>
                      <w:highlight w:val="none"/>
                    </w:rPr>
                  </w:pPr>
                  <w:r>
                    <w:rPr>
                      <w:rFonts w:hint="eastAsia" w:ascii="宋体" w:hAnsi="宋体" w:eastAsia="宋体" w:cs="宋体"/>
                      <w:i w:val="0"/>
                      <w:iCs w:val="0"/>
                      <w:color w:val="000000"/>
                      <w:kern w:val="0"/>
                      <w:sz w:val="20"/>
                      <w:szCs w:val="20"/>
                      <w:u w:val="none"/>
                      <w:lang w:val="en-US" w:eastAsia="zh-CN" w:bidi="ar"/>
                    </w:rPr>
                    <w:t>樘</w:t>
                  </w:r>
                </w:p>
              </w:tc>
              <w:tc>
                <w:tcPr>
                  <w:tcW w:w="10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ascii="宋体" w:hAnsi="宋体" w:cs="宋体"/>
                      <w:color w:val="auto"/>
                      <w:sz w:val="20"/>
                      <w:szCs w:val="20"/>
                      <w:highlight w:val="none"/>
                    </w:rPr>
                  </w:pPr>
                  <w:r>
                    <w:rPr>
                      <w:rFonts w:hint="eastAsia" w:ascii="宋体" w:hAnsi="宋体" w:eastAsia="宋体" w:cs="宋体"/>
                      <w:i w:val="0"/>
                      <w:iCs w:val="0"/>
                      <w:color w:val="000000"/>
                      <w:kern w:val="0"/>
                      <w:sz w:val="20"/>
                      <w:szCs w:val="20"/>
                      <w:u w:val="none"/>
                      <w:lang w:val="en-US" w:eastAsia="zh-CN" w:bidi="ar"/>
                    </w:rPr>
                    <w:t xml:space="preserve">2.00 </w:t>
                  </w:r>
                </w:p>
              </w:tc>
              <w:tc>
                <w:tcPr>
                  <w:tcW w:w="6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620" w:hRule="atLeast"/>
                <w:jc w:val="center"/>
              </w:trPr>
              <w:tc>
                <w:tcPr>
                  <w:tcW w:w="4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Arial Narrow" w:hAnsi="Arial Narrow" w:eastAsia="Arial Narrow" w:cs="Arial Narrow"/>
                      <w:color w:val="auto"/>
                      <w:sz w:val="20"/>
                      <w:szCs w:val="20"/>
                      <w:highlight w:val="none"/>
                    </w:rPr>
                  </w:pPr>
                  <w:r>
                    <w:rPr>
                      <w:rFonts w:hint="default" w:ascii="Arial Narrow" w:hAnsi="Arial Narrow" w:eastAsia="Arial Narrow" w:cs="Arial Narrow"/>
                      <w:i w:val="0"/>
                      <w:iCs w:val="0"/>
                      <w:color w:val="000000"/>
                      <w:kern w:val="0"/>
                      <w:sz w:val="20"/>
                      <w:szCs w:val="20"/>
                      <w:u w:val="none"/>
                      <w:lang w:val="en-US" w:eastAsia="zh-CN" w:bidi="ar"/>
                    </w:rPr>
                    <w:t>8</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cs="宋体"/>
                      <w:color w:val="auto"/>
                      <w:sz w:val="20"/>
                      <w:szCs w:val="20"/>
                      <w:highlight w:val="none"/>
                    </w:rPr>
                  </w:pPr>
                  <w:r>
                    <w:rPr>
                      <w:rFonts w:hint="eastAsia" w:ascii="宋体" w:hAnsi="宋体" w:eastAsia="宋体" w:cs="宋体"/>
                      <w:i w:val="0"/>
                      <w:iCs w:val="0"/>
                      <w:color w:val="000000"/>
                      <w:kern w:val="0"/>
                      <w:sz w:val="20"/>
                      <w:szCs w:val="20"/>
                      <w:u w:val="none"/>
                      <w:lang w:val="en-US" w:eastAsia="zh-CN" w:bidi="ar"/>
                    </w:rPr>
                    <w:t>辅房推拉门</w:t>
                  </w:r>
                </w:p>
              </w:tc>
              <w:tc>
                <w:tcPr>
                  <w:tcW w:w="435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cs="宋体"/>
                      <w:color w:val="auto"/>
                      <w:sz w:val="20"/>
                      <w:szCs w:val="20"/>
                      <w:highlight w:val="none"/>
                    </w:rPr>
                  </w:pPr>
                  <w:r>
                    <w:rPr>
                      <w:rFonts w:hint="eastAsia" w:ascii="宋体" w:hAnsi="宋体" w:eastAsia="宋体" w:cs="宋体"/>
                      <w:i w:val="0"/>
                      <w:iCs w:val="0"/>
                      <w:color w:val="000000"/>
                      <w:kern w:val="0"/>
                      <w:sz w:val="20"/>
                      <w:szCs w:val="20"/>
                      <w:u w:val="none"/>
                      <w:lang w:val="en-US" w:eastAsia="zh-CN" w:bidi="ar"/>
                    </w:rPr>
                    <w:t>1.名称：辅房推拉门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2.代号：TLM0924</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3.规格：900*2400mm单开,铝合金门框，观察窗</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4.工作内容：校正框扇,安装观察窗,装配五金,焊接、框周边塞缝等。要求详见招标文件</w:t>
                  </w:r>
                </w:p>
              </w:tc>
              <w:tc>
                <w:tcPr>
                  <w:tcW w:w="10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cs="宋体"/>
                      <w:color w:val="auto"/>
                      <w:sz w:val="20"/>
                      <w:szCs w:val="20"/>
                      <w:highlight w:val="none"/>
                    </w:rPr>
                  </w:pPr>
                  <w:r>
                    <w:rPr>
                      <w:rFonts w:hint="eastAsia" w:ascii="宋体" w:hAnsi="宋体" w:eastAsia="宋体" w:cs="宋体"/>
                      <w:i w:val="0"/>
                      <w:iCs w:val="0"/>
                      <w:color w:val="000000"/>
                      <w:kern w:val="0"/>
                      <w:sz w:val="20"/>
                      <w:szCs w:val="20"/>
                      <w:u w:val="none"/>
                      <w:lang w:val="en-US" w:eastAsia="zh-CN" w:bidi="ar"/>
                    </w:rPr>
                    <w:t>欧尼克、格满林、德科</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cs="宋体"/>
                      <w:color w:val="auto"/>
                      <w:sz w:val="20"/>
                      <w:szCs w:val="20"/>
                      <w:highlight w:val="none"/>
                    </w:rPr>
                  </w:pPr>
                  <w:r>
                    <w:rPr>
                      <w:rFonts w:hint="eastAsia" w:ascii="宋体" w:hAnsi="宋体" w:eastAsia="宋体" w:cs="宋体"/>
                      <w:i w:val="0"/>
                      <w:iCs w:val="0"/>
                      <w:color w:val="000000"/>
                      <w:kern w:val="0"/>
                      <w:sz w:val="20"/>
                      <w:szCs w:val="20"/>
                      <w:u w:val="none"/>
                      <w:lang w:val="en-US" w:eastAsia="zh-CN" w:bidi="ar"/>
                    </w:rPr>
                    <w:t>樘</w:t>
                  </w:r>
                </w:p>
              </w:tc>
              <w:tc>
                <w:tcPr>
                  <w:tcW w:w="10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ascii="宋体" w:hAnsi="宋体" w:cs="宋体"/>
                      <w:color w:val="auto"/>
                      <w:sz w:val="20"/>
                      <w:szCs w:val="20"/>
                      <w:highlight w:val="none"/>
                    </w:rPr>
                  </w:pPr>
                  <w:r>
                    <w:rPr>
                      <w:rFonts w:hint="eastAsia" w:ascii="宋体" w:hAnsi="宋体" w:eastAsia="宋体" w:cs="宋体"/>
                      <w:i w:val="0"/>
                      <w:iCs w:val="0"/>
                      <w:color w:val="000000"/>
                      <w:kern w:val="0"/>
                      <w:sz w:val="20"/>
                      <w:szCs w:val="20"/>
                      <w:u w:val="none"/>
                      <w:lang w:val="en-US" w:eastAsia="zh-CN" w:bidi="ar"/>
                    </w:rPr>
                    <w:t xml:space="preserve">3.00 </w:t>
                  </w:r>
                </w:p>
              </w:tc>
              <w:tc>
                <w:tcPr>
                  <w:tcW w:w="6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440" w:hRule="atLeast"/>
                <w:jc w:val="center"/>
              </w:trPr>
              <w:tc>
                <w:tcPr>
                  <w:tcW w:w="4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Arial Narrow" w:hAnsi="Arial Narrow" w:eastAsia="Arial Narrow" w:cs="Arial Narrow"/>
                      <w:color w:val="auto"/>
                      <w:sz w:val="20"/>
                      <w:szCs w:val="20"/>
                      <w:highlight w:val="none"/>
                    </w:rPr>
                  </w:pPr>
                  <w:r>
                    <w:rPr>
                      <w:rFonts w:hint="default" w:ascii="Arial Narrow" w:hAnsi="Arial Narrow" w:eastAsia="Arial Narrow" w:cs="Arial Narrow"/>
                      <w:i w:val="0"/>
                      <w:iCs w:val="0"/>
                      <w:color w:val="000000"/>
                      <w:kern w:val="0"/>
                      <w:sz w:val="20"/>
                      <w:szCs w:val="20"/>
                      <w:u w:val="none"/>
                      <w:lang w:val="en-US" w:eastAsia="zh-CN" w:bidi="ar"/>
                    </w:rPr>
                    <w:t>9</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cs="宋体"/>
                      <w:color w:val="auto"/>
                      <w:sz w:val="20"/>
                      <w:szCs w:val="20"/>
                      <w:highlight w:val="none"/>
                    </w:rPr>
                  </w:pPr>
                  <w:r>
                    <w:rPr>
                      <w:rFonts w:hint="eastAsia" w:ascii="宋体" w:hAnsi="宋体" w:eastAsia="宋体" w:cs="宋体"/>
                      <w:i w:val="0"/>
                      <w:iCs w:val="0"/>
                      <w:color w:val="000000"/>
                      <w:kern w:val="0"/>
                      <w:sz w:val="20"/>
                      <w:szCs w:val="20"/>
                      <w:u w:val="none"/>
                      <w:lang w:val="en-US" w:eastAsia="zh-CN" w:bidi="ar"/>
                    </w:rPr>
                    <w:t>辅房双开手推门</w:t>
                  </w:r>
                </w:p>
              </w:tc>
              <w:tc>
                <w:tcPr>
                  <w:tcW w:w="435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cs="宋体"/>
                      <w:color w:val="auto"/>
                      <w:sz w:val="20"/>
                      <w:szCs w:val="20"/>
                      <w:highlight w:val="none"/>
                    </w:rPr>
                  </w:pPr>
                  <w:r>
                    <w:rPr>
                      <w:rFonts w:hint="eastAsia" w:ascii="宋体" w:hAnsi="宋体" w:eastAsia="宋体" w:cs="宋体"/>
                      <w:i w:val="0"/>
                      <w:iCs w:val="0"/>
                      <w:color w:val="000000"/>
                      <w:kern w:val="0"/>
                      <w:sz w:val="20"/>
                      <w:szCs w:val="20"/>
                      <w:u w:val="none"/>
                      <w:lang w:val="en-US" w:eastAsia="zh-CN" w:bidi="ar"/>
                    </w:rPr>
                    <w:t>1.名称：辅房双开手推门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2.代号：DT8</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3.规格：1500*2200mm双开,铝合金门框，观察窗</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6.工作内容：校正框扇,安装观察窗,装配五金,焊接、框周边塞缝等。要求详见招标文件</w:t>
                  </w:r>
                </w:p>
              </w:tc>
              <w:tc>
                <w:tcPr>
                  <w:tcW w:w="10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cs="宋体"/>
                      <w:color w:val="auto"/>
                      <w:sz w:val="20"/>
                      <w:szCs w:val="20"/>
                      <w:highlight w:val="none"/>
                    </w:rPr>
                  </w:pPr>
                  <w:r>
                    <w:rPr>
                      <w:rFonts w:hint="eastAsia" w:ascii="宋体" w:hAnsi="宋体" w:eastAsia="宋体" w:cs="宋体"/>
                      <w:i w:val="0"/>
                      <w:iCs w:val="0"/>
                      <w:color w:val="000000"/>
                      <w:kern w:val="0"/>
                      <w:sz w:val="20"/>
                      <w:szCs w:val="20"/>
                      <w:u w:val="none"/>
                      <w:lang w:val="en-US" w:eastAsia="zh-CN" w:bidi="ar"/>
                    </w:rPr>
                    <w:t>欧尼克、格满林、德科</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cs="宋体"/>
                      <w:color w:val="auto"/>
                      <w:sz w:val="20"/>
                      <w:szCs w:val="20"/>
                      <w:highlight w:val="none"/>
                    </w:rPr>
                  </w:pPr>
                  <w:r>
                    <w:rPr>
                      <w:rFonts w:hint="eastAsia" w:ascii="宋体" w:hAnsi="宋体" w:eastAsia="宋体" w:cs="宋体"/>
                      <w:i w:val="0"/>
                      <w:iCs w:val="0"/>
                      <w:color w:val="000000"/>
                      <w:kern w:val="0"/>
                      <w:sz w:val="20"/>
                      <w:szCs w:val="20"/>
                      <w:u w:val="none"/>
                      <w:lang w:val="en-US" w:eastAsia="zh-CN" w:bidi="ar"/>
                    </w:rPr>
                    <w:t>樘</w:t>
                  </w:r>
                </w:p>
              </w:tc>
              <w:tc>
                <w:tcPr>
                  <w:tcW w:w="10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ascii="宋体" w:hAnsi="宋体" w:cs="宋体"/>
                      <w:color w:val="auto"/>
                      <w:sz w:val="20"/>
                      <w:szCs w:val="20"/>
                      <w:highlight w:val="none"/>
                    </w:rPr>
                  </w:pPr>
                  <w:r>
                    <w:rPr>
                      <w:rFonts w:hint="eastAsia" w:ascii="宋体" w:hAnsi="宋体" w:eastAsia="宋体" w:cs="宋体"/>
                      <w:i w:val="0"/>
                      <w:iCs w:val="0"/>
                      <w:color w:val="000000"/>
                      <w:kern w:val="0"/>
                      <w:sz w:val="20"/>
                      <w:szCs w:val="20"/>
                      <w:u w:val="none"/>
                      <w:lang w:val="en-US" w:eastAsia="zh-CN" w:bidi="ar"/>
                    </w:rPr>
                    <w:t xml:space="preserve">12.00 </w:t>
                  </w:r>
                </w:p>
              </w:tc>
              <w:tc>
                <w:tcPr>
                  <w:tcW w:w="6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560" w:hRule="atLeast"/>
                <w:jc w:val="center"/>
              </w:trPr>
              <w:tc>
                <w:tcPr>
                  <w:tcW w:w="4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Arial Narrow" w:hAnsi="Arial Narrow" w:eastAsia="Arial Narrow" w:cs="Arial Narrow"/>
                      <w:color w:val="auto"/>
                      <w:sz w:val="20"/>
                      <w:szCs w:val="20"/>
                      <w:highlight w:val="none"/>
                    </w:rPr>
                  </w:pPr>
                  <w:r>
                    <w:rPr>
                      <w:rFonts w:hint="default" w:ascii="Arial Narrow" w:hAnsi="Arial Narrow" w:eastAsia="Arial Narrow" w:cs="Arial Narrow"/>
                      <w:i w:val="0"/>
                      <w:iCs w:val="0"/>
                      <w:color w:val="000000"/>
                      <w:kern w:val="0"/>
                      <w:sz w:val="20"/>
                      <w:szCs w:val="20"/>
                      <w:u w:val="none"/>
                      <w:lang w:val="en-US" w:eastAsia="zh-CN" w:bidi="ar"/>
                    </w:rPr>
                    <w:t>10</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cs="宋体"/>
                      <w:color w:val="auto"/>
                      <w:sz w:val="20"/>
                      <w:szCs w:val="20"/>
                      <w:highlight w:val="none"/>
                    </w:rPr>
                  </w:pPr>
                  <w:r>
                    <w:rPr>
                      <w:rFonts w:hint="eastAsia" w:ascii="宋体" w:hAnsi="宋体" w:eastAsia="宋体" w:cs="宋体"/>
                      <w:i w:val="0"/>
                      <w:iCs w:val="0"/>
                      <w:color w:val="000000"/>
                      <w:kern w:val="0"/>
                      <w:sz w:val="20"/>
                      <w:szCs w:val="20"/>
                      <w:u w:val="none"/>
                      <w:lang w:val="en-US" w:eastAsia="zh-CN" w:bidi="ar"/>
                    </w:rPr>
                    <w:t>辅房彩钢板门</w:t>
                  </w:r>
                </w:p>
              </w:tc>
              <w:tc>
                <w:tcPr>
                  <w:tcW w:w="435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cs="宋体"/>
                      <w:color w:val="auto"/>
                      <w:sz w:val="20"/>
                      <w:szCs w:val="20"/>
                      <w:highlight w:val="none"/>
                    </w:rPr>
                  </w:pPr>
                  <w:r>
                    <w:rPr>
                      <w:rFonts w:hint="eastAsia" w:ascii="宋体" w:hAnsi="宋体" w:eastAsia="宋体" w:cs="宋体"/>
                      <w:i w:val="0"/>
                      <w:iCs w:val="0"/>
                      <w:color w:val="000000"/>
                      <w:kern w:val="0"/>
                      <w:sz w:val="20"/>
                      <w:szCs w:val="20"/>
                      <w:u w:val="none"/>
                      <w:lang w:val="en-US" w:eastAsia="zh-CN" w:bidi="ar"/>
                    </w:rPr>
                    <w:t>1.名称：辅房彩钢板门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2.代号：CGBM4</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3.规格：1000*2200mm单开,观察窗</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4.工作内容：校正框扇,安装观察窗,装配五金,焊接、框周边塞缝等。要求详见招标文件</w:t>
                  </w:r>
                </w:p>
              </w:tc>
              <w:tc>
                <w:tcPr>
                  <w:tcW w:w="10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cs="宋体"/>
                      <w:color w:val="auto"/>
                      <w:sz w:val="20"/>
                      <w:szCs w:val="20"/>
                      <w:highlight w:val="none"/>
                    </w:rPr>
                  </w:pPr>
                  <w:r>
                    <w:rPr>
                      <w:rFonts w:hint="eastAsia" w:ascii="宋体" w:hAnsi="宋体" w:eastAsia="宋体" w:cs="宋体"/>
                      <w:i w:val="0"/>
                      <w:iCs w:val="0"/>
                      <w:color w:val="000000"/>
                      <w:kern w:val="0"/>
                      <w:sz w:val="20"/>
                      <w:szCs w:val="20"/>
                      <w:u w:val="none"/>
                      <w:lang w:val="en-US" w:eastAsia="zh-CN" w:bidi="ar"/>
                    </w:rPr>
                    <w:t>欧尼克、格满林、德科</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cs="宋体"/>
                      <w:color w:val="auto"/>
                      <w:sz w:val="20"/>
                      <w:szCs w:val="20"/>
                      <w:highlight w:val="none"/>
                    </w:rPr>
                  </w:pPr>
                  <w:r>
                    <w:rPr>
                      <w:rFonts w:hint="eastAsia" w:ascii="宋体" w:hAnsi="宋体" w:eastAsia="宋体" w:cs="宋体"/>
                      <w:i w:val="0"/>
                      <w:iCs w:val="0"/>
                      <w:color w:val="000000"/>
                      <w:kern w:val="0"/>
                      <w:sz w:val="20"/>
                      <w:szCs w:val="20"/>
                      <w:u w:val="none"/>
                      <w:lang w:val="en-US" w:eastAsia="zh-CN" w:bidi="ar"/>
                    </w:rPr>
                    <w:t>樘</w:t>
                  </w:r>
                </w:p>
              </w:tc>
              <w:tc>
                <w:tcPr>
                  <w:tcW w:w="10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ascii="宋体" w:hAnsi="宋体" w:cs="宋体"/>
                      <w:color w:val="auto"/>
                      <w:sz w:val="20"/>
                      <w:szCs w:val="20"/>
                      <w:highlight w:val="none"/>
                    </w:rPr>
                  </w:pPr>
                  <w:r>
                    <w:rPr>
                      <w:rFonts w:hint="eastAsia" w:ascii="宋体" w:hAnsi="宋体" w:eastAsia="宋体" w:cs="宋体"/>
                      <w:i w:val="0"/>
                      <w:iCs w:val="0"/>
                      <w:color w:val="000000"/>
                      <w:kern w:val="0"/>
                      <w:sz w:val="20"/>
                      <w:szCs w:val="20"/>
                      <w:u w:val="none"/>
                      <w:lang w:val="en-US" w:eastAsia="zh-CN" w:bidi="ar"/>
                    </w:rPr>
                    <w:t xml:space="preserve">8.00 </w:t>
                  </w:r>
                </w:p>
              </w:tc>
              <w:tc>
                <w:tcPr>
                  <w:tcW w:w="6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875" w:hRule="atLeast"/>
                <w:jc w:val="center"/>
              </w:trPr>
              <w:tc>
                <w:tcPr>
                  <w:tcW w:w="4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Arial Narrow" w:hAnsi="Arial Narrow" w:eastAsia="Arial Narrow" w:cs="Arial Narrow"/>
                      <w:color w:val="auto"/>
                      <w:sz w:val="20"/>
                      <w:szCs w:val="20"/>
                      <w:highlight w:val="none"/>
                    </w:rPr>
                  </w:pPr>
                  <w:r>
                    <w:rPr>
                      <w:rFonts w:hint="default" w:ascii="Arial Narrow" w:hAnsi="Arial Narrow" w:eastAsia="Arial Narrow" w:cs="Arial Narrow"/>
                      <w:i w:val="0"/>
                      <w:iCs w:val="0"/>
                      <w:color w:val="000000"/>
                      <w:kern w:val="0"/>
                      <w:sz w:val="20"/>
                      <w:szCs w:val="20"/>
                      <w:u w:val="none"/>
                      <w:lang w:val="en-US" w:eastAsia="zh-CN" w:bidi="ar"/>
                    </w:rPr>
                    <w:t>11</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cs="宋体"/>
                      <w:color w:val="auto"/>
                      <w:sz w:val="20"/>
                      <w:szCs w:val="20"/>
                      <w:highlight w:val="none"/>
                    </w:rPr>
                  </w:pPr>
                  <w:r>
                    <w:rPr>
                      <w:rFonts w:hint="eastAsia" w:ascii="宋体" w:hAnsi="宋体" w:eastAsia="宋体" w:cs="宋体"/>
                      <w:i w:val="0"/>
                      <w:iCs w:val="0"/>
                      <w:color w:val="000000"/>
                      <w:kern w:val="0"/>
                      <w:sz w:val="20"/>
                      <w:szCs w:val="20"/>
                      <w:u w:val="none"/>
                      <w:lang w:val="en-US" w:eastAsia="zh-CN" w:bidi="ar"/>
                    </w:rPr>
                    <w:t>辅房外挂感应门</w:t>
                  </w:r>
                </w:p>
              </w:tc>
              <w:tc>
                <w:tcPr>
                  <w:tcW w:w="435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cs="宋体"/>
                      <w:color w:val="auto"/>
                      <w:sz w:val="20"/>
                      <w:szCs w:val="20"/>
                      <w:highlight w:val="none"/>
                    </w:rPr>
                  </w:pPr>
                  <w:r>
                    <w:rPr>
                      <w:rFonts w:hint="eastAsia" w:ascii="宋体" w:hAnsi="宋体" w:eastAsia="宋体" w:cs="宋体"/>
                      <w:i w:val="0"/>
                      <w:iCs w:val="0"/>
                      <w:color w:val="000000"/>
                      <w:kern w:val="0"/>
                      <w:sz w:val="20"/>
                      <w:szCs w:val="20"/>
                      <w:u w:val="none"/>
                      <w:lang w:val="en-US" w:eastAsia="zh-CN" w:bidi="ar"/>
                    </w:rPr>
                    <w:t>1.名称：辅房外挂感应门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2.代号：WAT5</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3.规格：1500*2200mm单开</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5.工作内容：安装门框、门扇、校正、安装锚固件、刷防腐油、安装自动感应装置、安装五金配件、周边塞缝、清扫、调试等要求详见招标文件</w:t>
                  </w:r>
                </w:p>
              </w:tc>
              <w:tc>
                <w:tcPr>
                  <w:tcW w:w="10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cs="宋体"/>
                      <w:color w:val="auto"/>
                      <w:sz w:val="20"/>
                      <w:szCs w:val="20"/>
                      <w:highlight w:val="none"/>
                    </w:rPr>
                  </w:pPr>
                  <w:r>
                    <w:rPr>
                      <w:rFonts w:hint="eastAsia" w:ascii="宋体" w:hAnsi="宋体" w:eastAsia="宋体" w:cs="宋体"/>
                      <w:i w:val="0"/>
                      <w:iCs w:val="0"/>
                      <w:color w:val="000000"/>
                      <w:kern w:val="0"/>
                      <w:sz w:val="20"/>
                      <w:szCs w:val="20"/>
                      <w:u w:val="none"/>
                      <w:lang w:val="en-US" w:eastAsia="zh-CN" w:bidi="ar"/>
                    </w:rPr>
                    <w:t>电动装置：松下、欧尼克、纳博克</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cs="宋体"/>
                      <w:color w:val="auto"/>
                      <w:sz w:val="20"/>
                      <w:szCs w:val="20"/>
                      <w:highlight w:val="none"/>
                    </w:rPr>
                  </w:pPr>
                  <w:r>
                    <w:rPr>
                      <w:rFonts w:hint="eastAsia" w:ascii="宋体" w:hAnsi="宋体" w:eastAsia="宋体" w:cs="宋体"/>
                      <w:i w:val="0"/>
                      <w:iCs w:val="0"/>
                      <w:color w:val="000000"/>
                      <w:kern w:val="0"/>
                      <w:sz w:val="20"/>
                      <w:szCs w:val="20"/>
                      <w:u w:val="none"/>
                      <w:lang w:val="en-US" w:eastAsia="zh-CN" w:bidi="ar"/>
                    </w:rPr>
                    <w:t>樘</w:t>
                  </w:r>
                </w:p>
              </w:tc>
              <w:tc>
                <w:tcPr>
                  <w:tcW w:w="10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ascii="宋体" w:hAnsi="宋体" w:cs="宋体"/>
                      <w:color w:val="auto"/>
                      <w:sz w:val="20"/>
                      <w:szCs w:val="20"/>
                      <w:highlight w:val="none"/>
                    </w:rPr>
                  </w:pPr>
                  <w:r>
                    <w:rPr>
                      <w:rFonts w:hint="eastAsia" w:ascii="宋体" w:hAnsi="宋体" w:eastAsia="宋体" w:cs="宋体"/>
                      <w:i w:val="0"/>
                      <w:iCs w:val="0"/>
                      <w:color w:val="000000"/>
                      <w:kern w:val="0"/>
                      <w:sz w:val="20"/>
                      <w:szCs w:val="20"/>
                      <w:u w:val="none"/>
                      <w:lang w:val="en-US" w:eastAsia="zh-CN" w:bidi="ar"/>
                    </w:rPr>
                    <w:t xml:space="preserve">4.00 </w:t>
                  </w:r>
                </w:p>
              </w:tc>
              <w:tc>
                <w:tcPr>
                  <w:tcW w:w="6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500" w:hRule="atLeast"/>
                <w:jc w:val="center"/>
              </w:trPr>
              <w:tc>
                <w:tcPr>
                  <w:tcW w:w="4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Arial Narrow" w:hAnsi="Arial Narrow" w:eastAsia="Arial Narrow" w:cs="Arial Narrow"/>
                      <w:color w:val="auto"/>
                      <w:sz w:val="20"/>
                      <w:szCs w:val="20"/>
                      <w:highlight w:val="none"/>
                    </w:rPr>
                  </w:pPr>
                  <w:r>
                    <w:rPr>
                      <w:rFonts w:hint="default" w:ascii="Arial Narrow" w:hAnsi="Arial Narrow" w:eastAsia="Arial Narrow" w:cs="Arial Narrow"/>
                      <w:i w:val="0"/>
                      <w:iCs w:val="0"/>
                      <w:color w:val="000000"/>
                      <w:kern w:val="0"/>
                      <w:sz w:val="20"/>
                      <w:szCs w:val="20"/>
                      <w:u w:val="none"/>
                      <w:lang w:val="en-US" w:eastAsia="zh-CN" w:bidi="ar"/>
                    </w:rPr>
                    <w:t>12</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cs="宋体"/>
                      <w:color w:val="auto"/>
                      <w:sz w:val="20"/>
                      <w:szCs w:val="20"/>
                      <w:highlight w:val="none"/>
                    </w:rPr>
                  </w:pPr>
                  <w:r>
                    <w:rPr>
                      <w:rFonts w:hint="eastAsia" w:ascii="宋体" w:hAnsi="宋体" w:eastAsia="宋体" w:cs="宋体"/>
                      <w:i w:val="0"/>
                      <w:iCs w:val="0"/>
                      <w:color w:val="000000"/>
                      <w:kern w:val="0"/>
                      <w:sz w:val="20"/>
                      <w:szCs w:val="20"/>
                      <w:u w:val="none"/>
                      <w:lang w:val="en-US" w:eastAsia="zh-CN" w:bidi="ar"/>
                    </w:rPr>
                    <w:t>手术室感应门</w:t>
                  </w:r>
                </w:p>
              </w:tc>
              <w:tc>
                <w:tcPr>
                  <w:tcW w:w="435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cs="宋体"/>
                      <w:color w:val="auto"/>
                      <w:sz w:val="20"/>
                      <w:szCs w:val="20"/>
                      <w:highlight w:val="none"/>
                    </w:rPr>
                  </w:pPr>
                  <w:r>
                    <w:rPr>
                      <w:rFonts w:hint="eastAsia" w:ascii="宋体" w:hAnsi="宋体" w:eastAsia="宋体" w:cs="宋体"/>
                      <w:i w:val="0"/>
                      <w:iCs w:val="0"/>
                      <w:color w:val="000000"/>
                      <w:kern w:val="0"/>
                      <w:sz w:val="20"/>
                      <w:szCs w:val="20"/>
                      <w:u w:val="none"/>
                      <w:lang w:val="en-US" w:eastAsia="zh-CN" w:bidi="ar"/>
                    </w:rPr>
                    <w:t>1.名称：手术室感应门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2.代号：AT6</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3.规格：1600*2200mm单开</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4.工作内容：安装门框、门扇、校正、安装锚固件、刷防腐油、安装自动感应装置、安装五金配件、周边塞缝、清扫、调试等要求详见招标文件</w:t>
                  </w:r>
                </w:p>
              </w:tc>
              <w:tc>
                <w:tcPr>
                  <w:tcW w:w="10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cs="宋体"/>
                      <w:color w:val="auto"/>
                      <w:sz w:val="20"/>
                      <w:szCs w:val="20"/>
                      <w:highlight w:val="none"/>
                    </w:rPr>
                  </w:pPr>
                  <w:r>
                    <w:rPr>
                      <w:rFonts w:hint="eastAsia" w:ascii="宋体" w:hAnsi="宋体" w:eastAsia="宋体" w:cs="宋体"/>
                      <w:i w:val="0"/>
                      <w:iCs w:val="0"/>
                      <w:color w:val="000000"/>
                      <w:kern w:val="0"/>
                      <w:sz w:val="20"/>
                      <w:szCs w:val="20"/>
                      <w:u w:val="none"/>
                      <w:lang w:val="en-US" w:eastAsia="zh-CN" w:bidi="ar"/>
                    </w:rPr>
                    <w:t>电动装置：松下、欧尼克、纳博克</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cs="宋体"/>
                      <w:color w:val="auto"/>
                      <w:sz w:val="20"/>
                      <w:szCs w:val="20"/>
                      <w:highlight w:val="none"/>
                    </w:rPr>
                  </w:pPr>
                  <w:r>
                    <w:rPr>
                      <w:rFonts w:hint="eastAsia" w:ascii="宋体" w:hAnsi="宋体" w:eastAsia="宋体" w:cs="宋体"/>
                      <w:i w:val="0"/>
                      <w:iCs w:val="0"/>
                      <w:color w:val="000000"/>
                      <w:kern w:val="0"/>
                      <w:sz w:val="20"/>
                      <w:szCs w:val="20"/>
                      <w:u w:val="none"/>
                      <w:lang w:val="en-US" w:eastAsia="zh-CN" w:bidi="ar"/>
                    </w:rPr>
                    <w:t>樘</w:t>
                  </w:r>
                </w:p>
              </w:tc>
              <w:tc>
                <w:tcPr>
                  <w:tcW w:w="10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ascii="宋体" w:hAnsi="宋体" w:cs="宋体"/>
                      <w:color w:val="auto"/>
                      <w:sz w:val="20"/>
                      <w:szCs w:val="20"/>
                      <w:highlight w:val="none"/>
                    </w:rPr>
                  </w:pPr>
                  <w:r>
                    <w:rPr>
                      <w:rFonts w:hint="eastAsia" w:ascii="宋体" w:hAnsi="宋体" w:eastAsia="宋体" w:cs="宋体"/>
                      <w:i w:val="0"/>
                      <w:iCs w:val="0"/>
                      <w:color w:val="000000"/>
                      <w:kern w:val="0"/>
                      <w:sz w:val="20"/>
                      <w:szCs w:val="20"/>
                      <w:u w:val="none"/>
                      <w:lang w:val="en-US" w:eastAsia="zh-CN" w:bidi="ar"/>
                    </w:rPr>
                    <w:t xml:space="preserve">22.00 </w:t>
                  </w:r>
                </w:p>
              </w:tc>
              <w:tc>
                <w:tcPr>
                  <w:tcW w:w="6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479" w:hRule="atLeast"/>
                <w:jc w:val="center"/>
              </w:trPr>
              <w:tc>
                <w:tcPr>
                  <w:tcW w:w="4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Arial Narrow" w:hAnsi="Arial Narrow" w:eastAsia="Arial Narrow" w:cs="Arial Narrow"/>
                      <w:color w:val="auto"/>
                      <w:sz w:val="20"/>
                      <w:szCs w:val="20"/>
                      <w:highlight w:val="none"/>
                    </w:rPr>
                  </w:pPr>
                  <w:r>
                    <w:rPr>
                      <w:rFonts w:hint="default" w:ascii="Arial Narrow" w:hAnsi="Arial Narrow" w:eastAsia="Arial Narrow" w:cs="Arial Narrow"/>
                      <w:i w:val="0"/>
                      <w:iCs w:val="0"/>
                      <w:color w:val="000000"/>
                      <w:kern w:val="0"/>
                      <w:sz w:val="20"/>
                      <w:szCs w:val="20"/>
                      <w:u w:val="none"/>
                      <w:lang w:val="en-US" w:eastAsia="zh-CN" w:bidi="ar"/>
                    </w:rPr>
                    <w:t>13</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cs="宋体"/>
                      <w:color w:val="auto"/>
                      <w:sz w:val="20"/>
                      <w:szCs w:val="20"/>
                      <w:highlight w:val="none"/>
                    </w:rPr>
                  </w:pPr>
                  <w:r>
                    <w:rPr>
                      <w:rFonts w:hint="eastAsia" w:ascii="宋体" w:hAnsi="宋体" w:eastAsia="宋体" w:cs="宋体"/>
                      <w:i w:val="0"/>
                      <w:iCs w:val="0"/>
                      <w:color w:val="000000"/>
                      <w:kern w:val="0"/>
                      <w:sz w:val="20"/>
                      <w:szCs w:val="20"/>
                      <w:u w:val="none"/>
                      <w:lang w:val="en-US" w:eastAsia="zh-CN" w:bidi="ar"/>
                    </w:rPr>
                    <w:t>辅房外挂感应门</w:t>
                  </w:r>
                </w:p>
              </w:tc>
              <w:tc>
                <w:tcPr>
                  <w:tcW w:w="435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cs="宋体"/>
                      <w:color w:val="auto"/>
                      <w:sz w:val="20"/>
                      <w:szCs w:val="20"/>
                      <w:highlight w:val="none"/>
                    </w:rPr>
                  </w:pPr>
                  <w:r>
                    <w:rPr>
                      <w:rFonts w:hint="eastAsia" w:ascii="宋体" w:hAnsi="宋体" w:eastAsia="宋体" w:cs="宋体"/>
                      <w:i w:val="0"/>
                      <w:iCs w:val="0"/>
                      <w:color w:val="000000"/>
                      <w:kern w:val="0"/>
                      <w:sz w:val="20"/>
                      <w:szCs w:val="20"/>
                      <w:u w:val="none"/>
                      <w:lang w:val="en-US" w:eastAsia="zh-CN" w:bidi="ar"/>
                    </w:rPr>
                    <w:t>1.名称：辅房外挂感应门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2.代号：WAT6</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3.规格：1600*2200mm单开（DTM1622)</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5.工作内容：安装门框、门扇、校正、安装锚固件、刷防腐油、安装自动感应装置、安装五金配件、周边塞缝、清扫、调试等要求详见招标文件</w:t>
                  </w:r>
                </w:p>
              </w:tc>
              <w:tc>
                <w:tcPr>
                  <w:tcW w:w="10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cs="宋体"/>
                      <w:color w:val="auto"/>
                      <w:sz w:val="20"/>
                      <w:szCs w:val="20"/>
                      <w:highlight w:val="none"/>
                    </w:rPr>
                  </w:pPr>
                  <w:r>
                    <w:rPr>
                      <w:rFonts w:hint="eastAsia" w:ascii="宋体" w:hAnsi="宋体" w:eastAsia="宋体" w:cs="宋体"/>
                      <w:i w:val="0"/>
                      <w:iCs w:val="0"/>
                      <w:color w:val="000000"/>
                      <w:kern w:val="0"/>
                      <w:sz w:val="20"/>
                      <w:szCs w:val="20"/>
                      <w:u w:val="none"/>
                      <w:lang w:val="en-US" w:eastAsia="zh-CN" w:bidi="ar"/>
                    </w:rPr>
                    <w:t>电动装置：松下、欧尼克、纳博克</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cs="宋体"/>
                      <w:color w:val="auto"/>
                      <w:sz w:val="20"/>
                      <w:szCs w:val="20"/>
                      <w:highlight w:val="none"/>
                    </w:rPr>
                  </w:pPr>
                  <w:r>
                    <w:rPr>
                      <w:rFonts w:hint="eastAsia" w:ascii="宋体" w:hAnsi="宋体" w:eastAsia="宋体" w:cs="宋体"/>
                      <w:i w:val="0"/>
                      <w:iCs w:val="0"/>
                      <w:color w:val="000000"/>
                      <w:kern w:val="0"/>
                      <w:sz w:val="20"/>
                      <w:szCs w:val="20"/>
                      <w:u w:val="none"/>
                      <w:lang w:val="en-US" w:eastAsia="zh-CN" w:bidi="ar"/>
                    </w:rPr>
                    <w:t>樘</w:t>
                  </w:r>
                </w:p>
              </w:tc>
              <w:tc>
                <w:tcPr>
                  <w:tcW w:w="10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ascii="宋体" w:hAnsi="宋体" w:cs="宋体"/>
                      <w:color w:val="auto"/>
                      <w:sz w:val="20"/>
                      <w:szCs w:val="20"/>
                      <w:highlight w:val="none"/>
                    </w:rPr>
                  </w:pPr>
                  <w:r>
                    <w:rPr>
                      <w:rFonts w:hint="eastAsia" w:ascii="宋体" w:hAnsi="宋体" w:eastAsia="宋体" w:cs="宋体"/>
                      <w:i w:val="0"/>
                      <w:iCs w:val="0"/>
                      <w:color w:val="000000"/>
                      <w:kern w:val="0"/>
                      <w:sz w:val="20"/>
                      <w:szCs w:val="20"/>
                      <w:u w:val="none"/>
                      <w:lang w:val="en-US" w:eastAsia="zh-CN" w:bidi="ar"/>
                    </w:rPr>
                    <w:t xml:space="preserve">12.00 </w:t>
                  </w:r>
                </w:p>
              </w:tc>
              <w:tc>
                <w:tcPr>
                  <w:tcW w:w="6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968" w:hRule="atLeast"/>
                <w:jc w:val="center"/>
              </w:trPr>
              <w:tc>
                <w:tcPr>
                  <w:tcW w:w="4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Arial Narrow" w:hAnsi="Arial Narrow" w:eastAsia="Arial Narrow" w:cs="Arial Narrow"/>
                      <w:color w:val="auto"/>
                      <w:sz w:val="20"/>
                      <w:szCs w:val="20"/>
                      <w:highlight w:val="none"/>
                    </w:rPr>
                  </w:pPr>
                  <w:r>
                    <w:rPr>
                      <w:rFonts w:hint="default" w:ascii="Arial Narrow" w:hAnsi="Arial Narrow" w:eastAsia="Arial Narrow" w:cs="Arial Narrow"/>
                      <w:i w:val="0"/>
                      <w:iCs w:val="0"/>
                      <w:color w:val="000000"/>
                      <w:kern w:val="0"/>
                      <w:sz w:val="20"/>
                      <w:szCs w:val="20"/>
                      <w:u w:val="none"/>
                      <w:lang w:val="en-US" w:eastAsia="zh-CN" w:bidi="ar"/>
                    </w:rPr>
                    <w:t>14</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cs="宋体"/>
                      <w:color w:val="auto"/>
                      <w:sz w:val="20"/>
                      <w:szCs w:val="20"/>
                      <w:highlight w:val="none"/>
                    </w:rPr>
                  </w:pPr>
                  <w:r>
                    <w:rPr>
                      <w:rFonts w:hint="eastAsia" w:ascii="宋体" w:hAnsi="宋体" w:eastAsia="宋体" w:cs="宋体"/>
                      <w:i w:val="0"/>
                      <w:iCs w:val="0"/>
                      <w:color w:val="000000"/>
                      <w:kern w:val="0"/>
                      <w:sz w:val="20"/>
                      <w:szCs w:val="20"/>
                      <w:u w:val="none"/>
                      <w:lang w:val="en-US" w:eastAsia="zh-CN" w:bidi="ar"/>
                    </w:rPr>
                    <w:t>手术室感应门</w:t>
                  </w:r>
                </w:p>
              </w:tc>
              <w:tc>
                <w:tcPr>
                  <w:tcW w:w="435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cs="宋体"/>
                      <w:color w:val="auto"/>
                      <w:sz w:val="20"/>
                      <w:szCs w:val="20"/>
                      <w:highlight w:val="none"/>
                    </w:rPr>
                  </w:pPr>
                  <w:r>
                    <w:rPr>
                      <w:rFonts w:hint="eastAsia" w:ascii="宋体" w:hAnsi="宋体" w:eastAsia="宋体" w:cs="宋体"/>
                      <w:i w:val="0"/>
                      <w:iCs w:val="0"/>
                      <w:color w:val="000000"/>
                      <w:kern w:val="0"/>
                      <w:sz w:val="20"/>
                      <w:szCs w:val="20"/>
                      <w:u w:val="none"/>
                      <w:lang w:val="en-US" w:eastAsia="zh-CN" w:bidi="ar"/>
                    </w:rPr>
                    <w:t>1.名称：手术室感应门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2.代号：AT1/AT1X</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3.规格：1000*2200mm单开</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4.工作内容：安装门框、门扇、校正、安装锚固件、刷防腐油、安装自动感应装置、安装五金配件、周边塞缝、清扫、调试等要求详见招标文件</w:t>
                  </w:r>
                </w:p>
              </w:tc>
              <w:tc>
                <w:tcPr>
                  <w:tcW w:w="10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cs="宋体"/>
                      <w:color w:val="auto"/>
                      <w:sz w:val="20"/>
                      <w:szCs w:val="20"/>
                      <w:highlight w:val="none"/>
                    </w:rPr>
                  </w:pPr>
                  <w:r>
                    <w:rPr>
                      <w:rFonts w:hint="eastAsia" w:ascii="宋体" w:hAnsi="宋体" w:eastAsia="宋体" w:cs="宋体"/>
                      <w:i w:val="0"/>
                      <w:iCs w:val="0"/>
                      <w:color w:val="000000"/>
                      <w:kern w:val="0"/>
                      <w:sz w:val="20"/>
                      <w:szCs w:val="20"/>
                      <w:u w:val="none"/>
                      <w:lang w:val="en-US" w:eastAsia="zh-CN" w:bidi="ar"/>
                    </w:rPr>
                    <w:t>电动装置：松下、欧尼克、纳博克</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cs="宋体"/>
                      <w:color w:val="auto"/>
                      <w:sz w:val="20"/>
                      <w:szCs w:val="20"/>
                      <w:highlight w:val="none"/>
                    </w:rPr>
                  </w:pPr>
                  <w:r>
                    <w:rPr>
                      <w:rFonts w:hint="eastAsia" w:ascii="宋体" w:hAnsi="宋体" w:eastAsia="宋体" w:cs="宋体"/>
                      <w:i w:val="0"/>
                      <w:iCs w:val="0"/>
                      <w:color w:val="000000"/>
                      <w:kern w:val="0"/>
                      <w:sz w:val="20"/>
                      <w:szCs w:val="20"/>
                      <w:u w:val="none"/>
                      <w:lang w:val="en-US" w:eastAsia="zh-CN" w:bidi="ar"/>
                    </w:rPr>
                    <w:t>樘</w:t>
                  </w:r>
                </w:p>
              </w:tc>
              <w:tc>
                <w:tcPr>
                  <w:tcW w:w="10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ascii="宋体" w:hAnsi="宋体" w:cs="宋体"/>
                      <w:color w:val="auto"/>
                      <w:sz w:val="20"/>
                      <w:szCs w:val="20"/>
                      <w:highlight w:val="none"/>
                    </w:rPr>
                  </w:pPr>
                  <w:r>
                    <w:rPr>
                      <w:rFonts w:hint="eastAsia" w:ascii="宋体" w:hAnsi="宋体" w:eastAsia="宋体" w:cs="宋体"/>
                      <w:i w:val="0"/>
                      <w:iCs w:val="0"/>
                      <w:color w:val="000000"/>
                      <w:kern w:val="0"/>
                      <w:sz w:val="20"/>
                      <w:szCs w:val="20"/>
                      <w:u w:val="none"/>
                      <w:lang w:val="en-US" w:eastAsia="zh-CN" w:bidi="ar"/>
                    </w:rPr>
                    <w:t xml:space="preserve">17.00 </w:t>
                  </w:r>
                </w:p>
              </w:tc>
              <w:tc>
                <w:tcPr>
                  <w:tcW w:w="6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810" w:hRule="atLeast"/>
                <w:jc w:val="center"/>
              </w:trPr>
              <w:tc>
                <w:tcPr>
                  <w:tcW w:w="4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Arial Narrow" w:hAnsi="Arial Narrow" w:eastAsia="Arial Narrow" w:cs="Arial Narrow"/>
                      <w:color w:val="auto"/>
                      <w:sz w:val="20"/>
                      <w:szCs w:val="20"/>
                      <w:highlight w:val="none"/>
                      <w:lang w:bidi="ar"/>
                    </w:rPr>
                  </w:pPr>
                  <w:r>
                    <w:rPr>
                      <w:rFonts w:hint="default" w:ascii="Arial Narrow" w:hAnsi="Arial Narrow" w:eastAsia="Arial Narrow" w:cs="Arial Narrow"/>
                      <w:i w:val="0"/>
                      <w:iCs w:val="0"/>
                      <w:color w:val="000000"/>
                      <w:kern w:val="0"/>
                      <w:sz w:val="20"/>
                      <w:szCs w:val="20"/>
                      <w:u w:val="none"/>
                      <w:lang w:val="en-US" w:eastAsia="zh-CN" w:bidi="ar"/>
                    </w:rPr>
                    <w:t>15</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cs="宋体"/>
                      <w:color w:val="auto"/>
                      <w:sz w:val="20"/>
                      <w:szCs w:val="20"/>
                      <w:highlight w:val="none"/>
                      <w:lang w:bidi="ar"/>
                    </w:rPr>
                  </w:pPr>
                  <w:r>
                    <w:rPr>
                      <w:rFonts w:hint="eastAsia" w:ascii="宋体" w:hAnsi="宋体" w:eastAsia="宋体" w:cs="宋体"/>
                      <w:i w:val="0"/>
                      <w:iCs w:val="0"/>
                      <w:color w:val="000000"/>
                      <w:kern w:val="0"/>
                      <w:sz w:val="20"/>
                      <w:szCs w:val="20"/>
                      <w:u w:val="none"/>
                      <w:lang w:val="en-US" w:eastAsia="zh-CN" w:bidi="ar"/>
                    </w:rPr>
                    <w:t>不锈钢检修门</w:t>
                  </w:r>
                </w:p>
              </w:tc>
              <w:tc>
                <w:tcPr>
                  <w:tcW w:w="435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cs="宋体"/>
                      <w:color w:val="auto"/>
                      <w:sz w:val="20"/>
                      <w:szCs w:val="20"/>
                      <w:highlight w:val="none"/>
                      <w:lang w:bidi="ar"/>
                    </w:rPr>
                  </w:pPr>
                  <w:r>
                    <w:rPr>
                      <w:rFonts w:hint="eastAsia" w:ascii="宋体" w:hAnsi="宋体" w:eastAsia="宋体" w:cs="宋体"/>
                      <w:i w:val="0"/>
                      <w:iCs w:val="0"/>
                      <w:color w:val="000000"/>
                      <w:kern w:val="0"/>
                      <w:sz w:val="20"/>
                      <w:szCs w:val="20"/>
                      <w:u w:val="none"/>
                      <w:lang w:val="en-US" w:eastAsia="zh-CN" w:bidi="ar"/>
                    </w:rPr>
                    <w:t>1.名称：不锈钢检修门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2.代号：</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3.规格：400mm(宽)单开,</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4.工作内容：安装门扇、校正、安装锚固件、刷防腐油、安装五金配件、周边塞缝、清扫、调试等要求详见招标文件</w:t>
                  </w:r>
                </w:p>
              </w:tc>
              <w:tc>
                <w:tcPr>
                  <w:tcW w:w="10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cs="宋体"/>
                      <w:color w:val="auto"/>
                      <w:sz w:val="20"/>
                      <w:szCs w:val="20"/>
                      <w:highlight w:val="none"/>
                      <w:lang w:bidi="ar"/>
                    </w:rPr>
                  </w:pPr>
                  <w:r>
                    <w:rPr>
                      <w:rFonts w:hint="eastAsia" w:ascii="宋体" w:hAnsi="宋体" w:eastAsia="宋体" w:cs="宋体"/>
                      <w:i w:val="0"/>
                      <w:iCs w:val="0"/>
                      <w:color w:val="000000"/>
                      <w:kern w:val="0"/>
                      <w:sz w:val="20"/>
                      <w:szCs w:val="20"/>
                      <w:u w:val="none"/>
                      <w:lang w:val="en-US" w:eastAsia="zh-CN" w:bidi="ar"/>
                    </w:rPr>
                    <w:t>欧尼克、华翱、亚泰</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cs="宋体"/>
                      <w:color w:val="auto"/>
                      <w:sz w:val="20"/>
                      <w:szCs w:val="20"/>
                      <w:highlight w:val="none"/>
                      <w:lang w:bidi="ar"/>
                    </w:rPr>
                  </w:pPr>
                  <w:r>
                    <w:rPr>
                      <w:rFonts w:hint="eastAsia" w:ascii="宋体" w:hAnsi="宋体" w:eastAsia="宋体" w:cs="宋体"/>
                      <w:i w:val="0"/>
                      <w:iCs w:val="0"/>
                      <w:color w:val="000000"/>
                      <w:kern w:val="0"/>
                      <w:sz w:val="20"/>
                      <w:szCs w:val="20"/>
                      <w:u w:val="none"/>
                      <w:lang w:val="en-US" w:eastAsia="zh-CN" w:bidi="ar"/>
                    </w:rPr>
                    <w:t>樘</w:t>
                  </w:r>
                </w:p>
              </w:tc>
              <w:tc>
                <w:tcPr>
                  <w:tcW w:w="10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cs="宋体"/>
                      <w:color w:val="auto"/>
                      <w:sz w:val="20"/>
                      <w:szCs w:val="20"/>
                      <w:highlight w:val="none"/>
                      <w:lang w:bidi="ar"/>
                    </w:rPr>
                  </w:pPr>
                  <w:r>
                    <w:rPr>
                      <w:rFonts w:hint="eastAsia" w:ascii="宋体" w:hAnsi="宋体" w:eastAsia="宋体" w:cs="宋体"/>
                      <w:i w:val="0"/>
                      <w:iCs w:val="0"/>
                      <w:color w:val="000000"/>
                      <w:kern w:val="0"/>
                      <w:sz w:val="20"/>
                      <w:szCs w:val="20"/>
                      <w:u w:val="none"/>
                      <w:lang w:val="en-US" w:eastAsia="zh-CN" w:bidi="ar"/>
                    </w:rPr>
                    <w:t xml:space="preserve">10.00 </w:t>
                  </w:r>
                </w:p>
              </w:tc>
              <w:tc>
                <w:tcPr>
                  <w:tcW w:w="6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757" w:hRule="atLeast"/>
                <w:jc w:val="center"/>
              </w:trPr>
              <w:tc>
                <w:tcPr>
                  <w:tcW w:w="4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Arial Narrow" w:hAnsi="Arial Narrow" w:eastAsia="Arial Narrow" w:cs="Arial Narrow"/>
                      <w:color w:val="auto"/>
                      <w:sz w:val="20"/>
                      <w:szCs w:val="20"/>
                      <w:highlight w:val="none"/>
                      <w:lang w:bidi="ar"/>
                    </w:rPr>
                  </w:pPr>
                  <w:r>
                    <w:rPr>
                      <w:rFonts w:hint="default" w:ascii="Arial Narrow" w:hAnsi="Arial Narrow" w:eastAsia="Arial Narrow" w:cs="Arial Narrow"/>
                      <w:i w:val="0"/>
                      <w:iCs w:val="0"/>
                      <w:color w:val="000000"/>
                      <w:kern w:val="0"/>
                      <w:sz w:val="20"/>
                      <w:szCs w:val="20"/>
                      <w:u w:val="none"/>
                      <w:lang w:val="en-US" w:eastAsia="zh-CN" w:bidi="ar"/>
                    </w:rPr>
                    <w:t>16</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cs="宋体"/>
                      <w:color w:val="auto"/>
                      <w:sz w:val="20"/>
                      <w:szCs w:val="20"/>
                      <w:highlight w:val="none"/>
                      <w:lang w:bidi="ar"/>
                    </w:rPr>
                  </w:pPr>
                  <w:r>
                    <w:rPr>
                      <w:rFonts w:hint="eastAsia" w:ascii="宋体" w:hAnsi="宋体" w:eastAsia="宋体" w:cs="宋体"/>
                      <w:i w:val="0"/>
                      <w:iCs w:val="0"/>
                      <w:color w:val="000000"/>
                      <w:kern w:val="0"/>
                      <w:sz w:val="20"/>
                      <w:szCs w:val="20"/>
                      <w:u w:val="none"/>
                      <w:lang w:val="en-US" w:eastAsia="zh-CN" w:bidi="ar"/>
                    </w:rPr>
                    <w:t>彩钢板窗</w:t>
                  </w:r>
                </w:p>
              </w:tc>
              <w:tc>
                <w:tcPr>
                  <w:tcW w:w="435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cs="宋体"/>
                      <w:color w:val="auto"/>
                      <w:sz w:val="20"/>
                      <w:szCs w:val="20"/>
                      <w:highlight w:val="none"/>
                      <w:lang w:bidi="ar"/>
                    </w:rPr>
                  </w:pPr>
                  <w:r>
                    <w:rPr>
                      <w:rFonts w:hint="eastAsia" w:ascii="宋体" w:hAnsi="宋体" w:eastAsia="宋体" w:cs="宋体"/>
                      <w:i w:val="0"/>
                      <w:iCs w:val="0"/>
                      <w:color w:val="000000"/>
                      <w:kern w:val="0"/>
                      <w:sz w:val="20"/>
                      <w:szCs w:val="20"/>
                      <w:u w:val="none"/>
                      <w:lang w:val="en-US" w:eastAsia="zh-CN" w:bidi="ar"/>
                    </w:rPr>
                    <w:t>1.名称：彩钢板窗</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2.代号：</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3.规格：5900*1200mm，8mm厚钢化玻璃，窗套1.2mm厚不锈钢板</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4.工作内容：定位、划线、吊正、找平、安装、框周边塞缝等。要求详见招标文件</w:t>
                  </w:r>
                </w:p>
              </w:tc>
              <w:tc>
                <w:tcPr>
                  <w:tcW w:w="10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cs="宋体"/>
                      <w:color w:val="auto"/>
                      <w:sz w:val="20"/>
                      <w:szCs w:val="20"/>
                      <w:highlight w:val="none"/>
                      <w:lang w:bidi="ar"/>
                    </w:rPr>
                  </w:pPr>
                  <w:r>
                    <w:rPr>
                      <w:rFonts w:hint="eastAsia" w:ascii="宋体" w:hAnsi="宋体" w:eastAsia="宋体" w:cs="宋体"/>
                      <w:i w:val="0"/>
                      <w:iCs w:val="0"/>
                      <w:color w:val="000000"/>
                      <w:kern w:val="0"/>
                      <w:sz w:val="20"/>
                      <w:szCs w:val="20"/>
                      <w:u w:val="none"/>
                      <w:lang w:val="en-US" w:eastAsia="zh-CN" w:bidi="ar"/>
                    </w:rPr>
                    <w:t>/</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cs="宋体"/>
                      <w:color w:val="auto"/>
                      <w:sz w:val="20"/>
                      <w:szCs w:val="20"/>
                      <w:highlight w:val="none"/>
                      <w:lang w:bidi="ar"/>
                    </w:rPr>
                  </w:pPr>
                  <w:r>
                    <w:rPr>
                      <w:rFonts w:hint="eastAsia" w:ascii="宋体" w:hAnsi="宋体" w:eastAsia="宋体" w:cs="宋体"/>
                      <w:i w:val="0"/>
                      <w:iCs w:val="0"/>
                      <w:color w:val="000000"/>
                      <w:kern w:val="0"/>
                      <w:sz w:val="20"/>
                      <w:szCs w:val="20"/>
                      <w:u w:val="none"/>
                      <w:lang w:val="en-US" w:eastAsia="zh-CN" w:bidi="ar"/>
                    </w:rPr>
                    <w:t>樘</w:t>
                  </w:r>
                </w:p>
              </w:tc>
              <w:tc>
                <w:tcPr>
                  <w:tcW w:w="10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cs="宋体"/>
                      <w:color w:val="auto"/>
                      <w:sz w:val="20"/>
                      <w:szCs w:val="20"/>
                      <w:highlight w:val="none"/>
                      <w:lang w:bidi="ar"/>
                    </w:rPr>
                  </w:pPr>
                  <w:r>
                    <w:rPr>
                      <w:rFonts w:hint="eastAsia" w:ascii="宋体" w:hAnsi="宋体" w:eastAsia="宋体" w:cs="宋体"/>
                      <w:i w:val="0"/>
                      <w:iCs w:val="0"/>
                      <w:color w:val="000000"/>
                      <w:kern w:val="0"/>
                      <w:sz w:val="20"/>
                      <w:szCs w:val="20"/>
                      <w:u w:val="none"/>
                      <w:lang w:val="en-US" w:eastAsia="zh-CN" w:bidi="ar"/>
                    </w:rPr>
                    <w:t xml:space="preserve">1.00 </w:t>
                  </w:r>
                </w:p>
              </w:tc>
              <w:tc>
                <w:tcPr>
                  <w:tcW w:w="6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795" w:hRule="atLeast"/>
                <w:jc w:val="center"/>
              </w:trPr>
              <w:tc>
                <w:tcPr>
                  <w:tcW w:w="4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Arial Narrow" w:hAnsi="Arial Narrow" w:eastAsia="Arial Narrow" w:cs="Arial Narrow"/>
                      <w:color w:val="auto"/>
                      <w:sz w:val="20"/>
                      <w:szCs w:val="20"/>
                      <w:highlight w:val="none"/>
                      <w:lang w:bidi="ar"/>
                    </w:rPr>
                  </w:pPr>
                  <w:r>
                    <w:rPr>
                      <w:rFonts w:hint="default" w:ascii="Arial Narrow" w:hAnsi="Arial Narrow" w:eastAsia="Arial Narrow" w:cs="Arial Narrow"/>
                      <w:i w:val="0"/>
                      <w:iCs w:val="0"/>
                      <w:color w:val="000000"/>
                      <w:kern w:val="0"/>
                      <w:sz w:val="20"/>
                      <w:szCs w:val="20"/>
                      <w:u w:val="none"/>
                      <w:lang w:val="en-US" w:eastAsia="zh-CN" w:bidi="ar"/>
                    </w:rPr>
                    <w:t>17</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cs="宋体"/>
                      <w:color w:val="auto"/>
                      <w:sz w:val="20"/>
                      <w:szCs w:val="20"/>
                      <w:highlight w:val="none"/>
                      <w:lang w:bidi="ar"/>
                    </w:rPr>
                  </w:pPr>
                  <w:r>
                    <w:rPr>
                      <w:rFonts w:hint="eastAsia" w:ascii="宋体" w:hAnsi="宋体" w:eastAsia="宋体" w:cs="宋体"/>
                      <w:i w:val="0"/>
                      <w:iCs w:val="0"/>
                      <w:color w:val="000000"/>
                      <w:kern w:val="0"/>
                      <w:sz w:val="20"/>
                      <w:szCs w:val="20"/>
                      <w:u w:val="none"/>
                      <w:lang w:val="en-US" w:eastAsia="zh-CN" w:bidi="ar"/>
                    </w:rPr>
                    <w:t>传递窗</w:t>
                  </w:r>
                </w:p>
              </w:tc>
              <w:tc>
                <w:tcPr>
                  <w:tcW w:w="435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cs="宋体"/>
                      <w:color w:val="auto"/>
                      <w:sz w:val="20"/>
                      <w:szCs w:val="20"/>
                      <w:highlight w:val="none"/>
                      <w:lang w:bidi="ar"/>
                    </w:rPr>
                  </w:pPr>
                  <w:r>
                    <w:rPr>
                      <w:rFonts w:hint="eastAsia" w:ascii="宋体" w:hAnsi="宋体" w:eastAsia="宋体" w:cs="宋体"/>
                      <w:i w:val="0"/>
                      <w:iCs w:val="0"/>
                      <w:color w:val="000000"/>
                      <w:kern w:val="0"/>
                      <w:sz w:val="20"/>
                      <w:szCs w:val="20"/>
                      <w:u w:val="none"/>
                      <w:lang w:val="en-US" w:eastAsia="zh-CN" w:bidi="ar"/>
                    </w:rPr>
                    <w:t>1.名称：传递窗</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2.代号：</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3.规格：600*1500mm，8mm厚钢化玻璃，窗套1.2mm厚不锈钢板</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4.工作内容：定位、划线、吊正、找平、安装、框周边塞缝等。要求详见招标文件</w:t>
                  </w:r>
                </w:p>
              </w:tc>
              <w:tc>
                <w:tcPr>
                  <w:tcW w:w="10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cs="宋体"/>
                      <w:color w:val="auto"/>
                      <w:sz w:val="20"/>
                      <w:szCs w:val="20"/>
                      <w:highlight w:val="none"/>
                      <w:lang w:bidi="ar"/>
                    </w:rPr>
                  </w:pPr>
                  <w:r>
                    <w:rPr>
                      <w:rFonts w:hint="eastAsia" w:ascii="宋体" w:hAnsi="宋体" w:eastAsia="宋体" w:cs="宋体"/>
                      <w:i w:val="0"/>
                      <w:iCs w:val="0"/>
                      <w:color w:val="000000"/>
                      <w:kern w:val="0"/>
                      <w:sz w:val="20"/>
                      <w:szCs w:val="20"/>
                      <w:u w:val="none"/>
                      <w:lang w:val="en-US" w:eastAsia="zh-CN" w:bidi="ar"/>
                    </w:rPr>
                    <w:t>/</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cs="宋体"/>
                      <w:color w:val="auto"/>
                      <w:sz w:val="20"/>
                      <w:szCs w:val="20"/>
                      <w:highlight w:val="none"/>
                      <w:lang w:bidi="ar"/>
                    </w:rPr>
                  </w:pPr>
                  <w:r>
                    <w:rPr>
                      <w:rFonts w:hint="eastAsia" w:ascii="宋体" w:hAnsi="宋体" w:eastAsia="宋体" w:cs="宋体"/>
                      <w:i w:val="0"/>
                      <w:iCs w:val="0"/>
                      <w:color w:val="000000"/>
                      <w:kern w:val="0"/>
                      <w:sz w:val="20"/>
                      <w:szCs w:val="20"/>
                      <w:u w:val="none"/>
                      <w:lang w:val="en-US" w:eastAsia="zh-CN" w:bidi="ar"/>
                    </w:rPr>
                    <w:t>樘</w:t>
                  </w:r>
                </w:p>
              </w:tc>
              <w:tc>
                <w:tcPr>
                  <w:tcW w:w="10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cs="宋体"/>
                      <w:color w:val="auto"/>
                      <w:sz w:val="20"/>
                      <w:szCs w:val="20"/>
                      <w:highlight w:val="none"/>
                      <w:lang w:bidi="ar"/>
                    </w:rPr>
                  </w:pPr>
                  <w:r>
                    <w:rPr>
                      <w:rFonts w:hint="eastAsia" w:ascii="宋体" w:hAnsi="宋体" w:eastAsia="宋体" w:cs="宋体"/>
                      <w:i w:val="0"/>
                      <w:iCs w:val="0"/>
                      <w:color w:val="000000"/>
                      <w:kern w:val="0"/>
                      <w:sz w:val="20"/>
                      <w:szCs w:val="20"/>
                      <w:u w:val="none"/>
                      <w:lang w:val="en-US" w:eastAsia="zh-CN" w:bidi="ar"/>
                    </w:rPr>
                    <w:t xml:space="preserve">6.00 </w:t>
                  </w:r>
                </w:p>
              </w:tc>
              <w:tc>
                <w:tcPr>
                  <w:tcW w:w="6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2400" w:hRule="atLeast"/>
                <w:jc w:val="center"/>
              </w:trPr>
              <w:tc>
                <w:tcPr>
                  <w:tcW w:w="4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Arial Narrow" w:hAnsi="Arial Narrow" w:eastAsia="Arial Narrow" w:cs="Arial Narrow"/>
                      <w:color w:val="auto"/>
                      <w:sz w:val="20"/>
                      <w:szCs w:val="20"/>
                      <w:highlight w:val="none"/>
                      <w:lang w:bidi="ar"/>
                    </w:rPr>
                  </w:pPr>
                  <w:r>
                    <w:rPr>
                      <w:rFonts w:hint="default" w:ascii="Arial Narrow" w:hAnsi="Arial Narrow" w:eastAsia="Arial Narrow" w:cs="Arial Narrow"/>
                      <w:i w:val="0"/>
                      <w:iCs w:val="0"/>
                      <w:color w:val="000000"/>
                      <w:kern w:val="0"/>
                      <w:sz w:val="20"/>
                      <w:szCs w:val="20"/>
                      <w:u w:val="none"/>
                      <w:lang w:val="en-US" w:eastAsia="zh-CN" w:bidi="ar"/>
                    </w:rPr>
                    <w:t>18</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cs="宋体"/>
                      <w:color w:val="auto"/>
                      <w:sz w:val="20"/>
                      <w:szCs w:val="20"/>
                      <w:highlight w:val="none"/>
                      <w:lang w:bidi="ar"/>
                    </w:rPr>
                  </w:pPr>
                  <w:r>
                    <w:rPr>
                      <w:rFonts w:hint="eastAsia" w:ascii="宋体" w:hAnsi="宋体" w:eastAsia="宋体" w:cs="宋体"/>
                      <w:i w:val="0"/>
                      <w:iCs w:val="0"/>
                      <w:color w:val="000000"/>
                      <w:kern w:val="0"/>
                      <w:sz w:val="20"/>
                      <w:szCs w:val="20"/>
                      <w:u w:val="none"/>
                      <w:lang w:val="en-US" w:eastAsia="zh-CN" w:bidi="ar"/>
                    </w:rPr>
                    <w:t>传递窗</w:t>
                  </w:r>
                </w:p>
              </w:tc>
              <w:tc>
                <w:tcPr>
                  <w:tcW w:w="435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cs="宋体"/>
                      <w:color w:val="auto"/>
                      <w:sz w:val="20"/>
                      <w:szCs w:val="20"/>
                      <w:highlight w:val="none"/>
                      <w:lang w:bidi="ar"/>
                    </w:rPr>
                  </w:pPr>
                  <w:r>
                    <w:rPr>
                      <w:rFonts w:hint="eastAsia" w:ascii="宋体" w:hAnsi="宋体" w:eastAsia="宋体" w:cs="宋体"/>
                      <w:i w:val="0"/>
                      <w:iCs w:val="0"/>
                      <w:color w:val="000000"/>
                      <w:kern w:val="0"/>
                      <w:sz w:val="20"/>
                      <w:szCs w:val="20"/>
                      <w:u w:val="none"/>
                      <w:lang w:val="en-US" w:eastAsia="zh-CN" w:bidi="ar"/>
                    </w:rPr>
                    <w:t>1.名称：传递窗</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2.代号：C1715</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3.规格：600*1500mm，8mm厚钢化玻璃，窗套1.2mm厚不锈钢板</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4.工作内容：定位、划线、吊正、找平、安装、框周边塞缝等。要求详见招标文件</w:t>
                  </w:r>
                </w:p>
              </w:tc>
              <w:tc>
                <w:tcPr>
                  <w:tcW w:w="10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cs="宋体"/>
                      <w:color w:val="auto"/>
                      <w:sz w:val="20"/>
                      <w:szCs w:val="20"/>
                      <w:highlight w:val="none"/>
                      <w:lang w:bidi="ar"/>
                    </w:rPr>
                  </w:pPr>
                  <w:r>
                    <w:rPr>
                      <w:rFonts w:hint="eastAsia" w:ascii="宋体" w:hAnsi="宋体" w:eastAsia="宋体" w:cs="宋体"/>
                      <w:i w:val="0"/>
                      <w:iCs w:val="0"/>
                      <w:color w:val="000000"/>
                      <w:kern w:val="0"/>
                      <w:sz w:val="20"/>
                      <w:szCs w:val="20"/>
                      <w:u w:val="none"/>
                      <w:lang w:val="en-US" w:eastAsia="zh-CN" w:bidi="ar"/>
                    </w:rPr>
                    <w:t>/</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cs="宋体"/>
                      <w:color w:val="auto"/>
                      <w:sz w:val="20"/>
                      <w:szCs w:val="20"/>
                      <w:highlight w:val="none"/>
                      <w:lang w:bidi="ar"/>
                    </w:rPr>
                  </w:pPr>
                  <w:r>
                    <w:rPr>
                      <w:rFonts w:hint="eastAsia" w:ascii="宋体" w:hAnsi="宋体" w:eastAsia="宋体" w:cs="宋体"/>
                      <w:i w:val="0"/>
                      <w:iCs w:val="0"/>
                      <w:color w:val="000000"/>
                      <w:kern w:val="0"/>
                      <w:sz w:val="20"/>
                      <w:szCs w:val="20"/>
                      <w:u w:val="none"/>
                      <w:lang w:val="en-US" w:eastAsia="zh-CN" w:bidi="ar"/>
                    </w:rPr>
                    <w:t>樘</w:t>
                  </w:r>
                </w:p>
              </w:tc>
              <w:tc>
                <w:tcPr>
                  <w:tcW w:w="10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cs="宋体"/>
                      <w:color w:val="auto"/>
                      <w:sz w:val="20"/>
                      <w:szCs w:val="20"/>
                      <w:highlight w:val="none"/>
                      <w:lang w:bidi="ar"/>
                    </w:rPr>
                  </w:pPr>
                  <w:r>
                    <w:rPr>
                      <w:rFonts w:hint="eastAsia" w:ascii="宋体" w:hAnsi="宋体" w:eastAsia="宋体" w:cs="宋体"/>
                      <w:i w:val="0"/>
                      <w:iCs w:val="0"/>
                      <w:color w:val="000000"/>
                      <w:kern w:val="0"/>
                      <w:sz w:val="20"/>
                      <w:szCs w:val="20"/>
                      <w:u w:val="none"/>
                      <w:lang w:val="en-US" w:eastAsia="zh-CN" w:bidi="ar"/>
                    </w:rPr>
                    <w:t xml:space="preserve">2.00 </w:t>
                  </w:r>
                </w:p>
              </w:tc>
              <w:tc>
                <w:tcPr>
                  <w:tcW w:w="6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2082" w:hRule="atLeast"/>
                <w:jc w:val="center"/>
              </w:trPr>
              <w:tc>
                <w:tcPr>
                  <w:tcW w:w="4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Arial Narrow" w:hAnsi="Arial Narrow" w:eastAsia="Arial Narrow" w:cs="Arial Narrow"/>
                      <w:color w:val="auto"/>
                      <w:sz w:val="20"/>
                      <w:szCs w:val="20"/>
                      <w:highlight w:val="none"/>
                      <w:lang w:bidi="ar"/>
                    </w:rPr>
                  </w:pPr>
                  <w:r>
                    <w:rPr>
                      <w:rFonts w:hint="default" w:ascii="Arial Narrow" w:hAnsi="Arial Narrow" w:eastAsia="Arial Narrow" w:cs="Arial Narrow"/>
                      <w:i w:val="0"/>
                      <w:iCs w:val="0"/>
                      <w:color w:val="000000"/>
                      <w:kern w:val="0"/>
                      <w:sz w:val="20"/>
                      <w:szCs w:val="20"/>
                      <w:u w:val="none"/>
                      <w:lang w:val="en-US" w:eastAsia="zh-CN" w:bidi="ar"/>
                    </w:rPr>
                    <w:t>19</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cs="宋体"/>
                      <w:color w:val="auto"/>
                      <w:sz w:val="20"/>
                      <w:szCs w:val="20"/>
                      <w:highlight w:val="none"/>
                      <w:lang w:bidi="ar"/>
                    </w:rPr>
                  </w:pPr>
                  <w:r>
                    <w:rPr>
                      <w:rFonts w:hint="eastAsia" w:ascii="宋体" w:hAnsi="宋体" w:eastAsia="宋体" w:cs="宋体"/>
                      <w:i w:val="0"/>
                      <w:iCs w:val="0"/>
                      <w:color w:val="000000"/>
                      <w:kern w:val="0"/>
                      <w:sz w:val="20"/>
                      <w:szCs w:val="20"/>
                      <w:u w:val="none"/>
                      <w:lang w:val="en-US" w:eastAsia="zh-CN" w:bidi="ar"/>
                    </w:rPr>
                    <w:t>监护窗</w:t>
                  </w:r>
                </w:p>
              </w:tc>
              <w:tc>
                <w:tcPr>
                  <w:tcW w:w="435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cs="宋体"/>
                      <w:color w:val="auto"/>
                      <w:sz w:val="20"/>
                      <w:szCs w:val="20"/>
                      <w:highlight w:val="none"/>
                      <w:lang w:bidi="ar"/>
                    </w:rPr>
                  </w:pPr>
                  <w:r>
                    <w:rPr>
                      <w:rFonts w:hint="eastAsia" w:ascii="宋体" w:hAnsi="宋体" w:eastAsia="宋体" w:cs="宋体"/>
                      <w:i w:val="0"/>
                      <w:iCs w:val="0"/>
                      <w:color w:val="000000"/>
                      <w:kern w:val="0"/>
                      <w:sz w:val="20"/>
                      <w:szCs w:val="20"/>
                      <w:u w:val="none"/>
                      <w:lang w:val="en-US" w:eastAsia="zh-CN" w:bidi="ar"/>
                    </w:rPr>
                    <w:t>1.名称：监护窗</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2.代号：</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3.规格：2400*1200mm，8mm厚钢化玻璃，窗套1.2mm厚不锈钢板</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4.工作内容：定位、划线、吊正、找平、安装、框周边塞缝等。要求详见招标文件</w:t>
                  </w:r>
                </w:p>
              </w:tc>
              <w:tc>
                <w:tcPr>
                  <w:tcW w:w="10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cs="宋体"/>
                      <w:color w:val="auto"/>
                      <w:sz w:val="20"/>
                      <w:szCs w:val="20"/>
                      <w:highlight w:val="none"/>
                      <w:lang w:bidi="ar"/>
                    </w:rPr>
                  </w:pPr>
                  <w:r>
                    <w:rPr>
                      <w:rFonts w:hint="eastAsia" w:ascii="宋体" w:hAnsi="宋体" w:eastAsia="宋体" w:cs="宋体"/>
                      <w:i w:val="0"/>
                      <w:iCs w:val="0"/>
                      <w:color w:val="000000"/>
                      <w:kern w:val="0"/>
                      <w:sz w:val="20"/>
                      <w:szCs w:val="20"/>
                      <w:u w:val="none"/>
                      <w:lang w:val="en-US" w:eastAsia="zh-CN" w:bidi="ar"/>
                    </w:rPr>
                    <w:t>/</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cs="宋体"/>
                      <w:color w:val="auto"/>
                      <w:sz w:val="20"/>
                      <w:szCs w:val="20"/>
                      <w:highlight w:val="none"/>
                      <w:lang w:bidi="ar"/>
                    </w:rPr>
                  </w:pPr>
                  <w:r>
                    <w:rPr>
                      <w:rFonts w:hint="eastAsia" w:ascii="宋体" w:hAnsi="宋体" w:eastAsia="宋体" w:cs="宋体"/>
                      <w:i w:val="0"/>
                      <w:iCs w:val="0"/>
                      <w:color w:val="000000"/>
                      <w:kern w:val="0"/>
                      <w:sz w:val="20"/>
                      <w:szCs w:val="20"/>
                      <w:u w:val="none"/>
                      <w:lang w:val="en-US" w:eastAsia="zh-CN" w:bidi="ar"/>
                    </w:rPr>
                    <w:t>樘</w:t>
                  </w:r>
                </w:p>
              </w:tc>
              <w:tc>
                <w:tcPr>
                  <w:tcW w:w="10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cs="宋体"/>
                      <w:color w:val="auto"/>
                      <w:sz w:val="20"/>
                      <w:szCs w:val="20"/>
                      <w:highlight w:val="none"/>
                      <w:lang w:bidi="ar"/>
                    </w:rPr>
                  </w:pPr>
                  <w:r>
                    <w:rPr>
                      <w:rFonts w:hint="eastAsia" w:ascii="宋体" w:hAnsi="宋体" w:eastAsia="宋体" w:cs="宋体"/>
                      <w:i w:val="0"/>
                      <w:iCs w:val="0"/>
                      <w:color w:val="000000"/>
                      <w:kern w:val="0"/>
                      <w:sz w:val="20"/>
                      <w:szCs w:val="20"/>
                      <w:u w:val="none"/>
                      <w:lang w:val="en-US" w:eastAsia="zh-CN" w:bidi="ar"/>
                    </w:rPr>
                    <w:t xml:space="preserve">12.00 </w:t>
                  </w:r>
                </w:p>
              </w:tc>
              <w:tc>
                <w:tcPr>
                  <w:tcW w:w="6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2060" w:hRule="atLeast"/>
                <w:jc w:val="center"/>
              </w:trPr>
              <w:tc>
                <w:tcPr>
                  <w:tcW w:w="4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Arial Narrow" w:hAnsi="Arial Narrow" w:eastAsia="Arial Narrow" w:cs="Arial Narrow"/>
                      <w:color w:val="auto"/>
                      <w:sz w:val="20"/>
                      <w:szCs w:val="20"/>
                      <w:highlight w:val="none"/>
                      <w:lang w:bidi="ar"/>
                    </w:rPr>
                  </w:pPr>
                  <w:r>
                    <w:rPr>
                      <w:rFonts w:hint="default" w:ascii="Arial Narrow" w:hAnsi="Arial Narrow" w:eastAsia="Arial Narrow" w:cs="Arial Narrow"/>
                      <w:i w:val="0"/>
                      <w:iCs w:val="0"/>
                      <w:color w:val="000000"/>
                      <w:kern w:val="0"/>
                      <w:sz w:val="20"/>
                      <w:szCs w:val="20"/>
                      <w:u w:val="none"/>
                      <w:lang w:val="en-US" w:eastAsia="zh-CN" w:bidi="ar"/>
                    </w:rPr>
                    <w:t>20</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cs="宋体"/>
                      <w:color w:val="auto"/>
                      <w:sz w:val="20"/>
                      <w:szCs w:val="20"/>
                      <w:highlight w:val="none"/>
                      <w:lang w:bidi="ar"/>
                    </w:rPr>
                  </w:pPr>
                  <w:r>
                    <w:rPr>
                      <w:rFonts w:hint="eastAsia" w:ascii="宋体" w:hAnsi="宋体" w:eastAsia="宋体" w:cs="宋体"/>
                      <w:i w:val="0"/>
                      <w:iCs w:val="0"/>
                      <w:color w:val="000000"/>
                      <w:kern w:val="0"/>
                      <w:sz w:val="20"/>
                      <w:szCs w:val="20"/>
                      <w:u w:val="none"/>
                      <w:lang w:val="en-US" w:eastAsia="zh-CN" w:bidi="ar"/>
                    </w:rPr>
                    <w:t>监护窗</w:t>
                  </w:r>
                </w:p>
              </w:tc>
              <w:tc>
                <w:tcPr>
                  <w:tcW w:w="435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cs="宋体"/>
                      <w:color w:val="auto"/>
                      <w:sz w:val="20"/>
                      <w:szCs w:val="20"/>
                      <w:highlight w:val="none"/>
                      <w:lang w:bidi="ar"/>
                    </w:rPr>
                  </w:pPr>
                  <w:r>
                    <w:rPr>
                      <w:rFonts w:hint="eastAsia" w:ascii="宋体" w:hAnsi="宋体" w:eastAsia="宋体" w:cs="宋体"/>
                      <w:i w:val="0"/>
                      <w:iCs w:val="0"/>
                      <w:color w:val="000000"/>
                      <w:kern w:val="0"/>
                      <w:sz w:val="20"/>
                      <w:szCs w:val="20"/>
                      <w:u w:val="none"/>
                      <w:lang w:val="en-US" w:eastAsia="zh-CN" w:bidi="ar"/>
                    </w:rPr>
                    <w:t>1.名称：监护窗</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2.代号：C2515</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3.规格：2500*1500mm，8mm厚钢化玻璃，窗套1.2mm厚不锈钢板</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4.工作内容：定位、划线、吊正、找平、安装、框周边塞缝等。要求详见招标文件</w:t>
                  </w:r>
                </w:p>
              </w:tc>
              <w:tc>
                <w:tcPr>
                  <w:tcW w:w="10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cs="宋体"/>
                      <w:color w:val="auto"/>
                      <w:sz w:val="20"/>
                      <w:szCs w:val="20"/>
                      <w:highlight w:val="none"/>
                      <w:lang w:bidi="ar"/>
                    </w:rPr>
                  </w:pPr>
                  <w:r>
                    <w:rPr>
                      <w:rFonts w:hint="eastAsia" w:ascii="宋体" w:hAnsi="宋体" w:eastAsia="宋体" w:cs="宋体"/>
                      <w:i w:val="0"/>
                      <w:iCs w:val="0"/>
                      <w:color w:val="000000"/>
                      <w:kern w:val="0"/>
                      <w:sz w:val="20"/>
                      <w:szCs w:val="20"/>
                      <w:u w:val="none"/>
                      <w:lang w:val="en-US" w:eastAsia="zh-CN" w:bidi="ar"/>
                    </w:rPr>
                    <w:t>/</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cs="宋体"/>
                      <w:color w:val="auto"/>
                      <w:sz w:val="20"/>
                      <w:szCs w:val="20"/>
                      <w:highlight w:val="none"/>
                      <w:lang w:bidi="ar"/>
                    </w:rPr>
                  </w:pPr>
                  <w:r>
                    <w:rPr>
                      <w:rFonts w:hint="eastAsia" w:ascii="宋体" w:hAnsi="宋体" w:eastAsia="宋体" w:cs="宋体"/>
                      <w:i w:val="0"/>
                      <w:iCs w:val="0"/>
                      <w:color w:val="000000"/>
                      <w:kern w:val="0"/>
                      <w:sz w:val="20"/>
                      <w:szCs w:val="20"/>
                      <w:u w:val="none"/>
                      <w:lang w:val="en-US" w:eastAsia="zh-CN" w:bidi="ar"/>
                    </w:rPr>
                    <w:t>樘</w:t>
                  </w:r>
                </w:p>
              </w:tc>
              <w:tc>
                <w:tcPr>
                  <w:tcW w:w="10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cs="宋体"/>
                      <w:color w:val="auto"/>
                      <w:sz w:val="20"/>
                      <w:szCs w:val="20"/>
                      <w:highlight w:val="none"/>
                      <w:lang w:bidi="ar"/>
                    </w:rPr>
                  </w:pPr>
                  <w:r>
                    <w:rPr>
                      <w:rFonts w:hint="eastAsia" w:ascii="宋体" w:hAnsi="宋体" w:eastAsia="宋体" w:cs="宋体"/>
                      <w:i w:val="0"/>
                      <w:iCs w:val="0"/>
                      <w:color w:val="000000"/>
                      <w:kern w:val="0"/>
                      <w:sz w:val="20"/>
                      <w:szCs w:val="20"/>
                      <w:u w:val="none"/>
                      <w:lang w:val="en-US" w:eastAsia="zh-CN" w:bidi="ar"/>
                    </w:rPr>
                    <w:t xml:space="preserve">1.00 </w:t>
                  </w:r>
                </w:p>
              </w:tc>
              <w:tc>
                <w:tcPr>
                  <w:tcW w:w="6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2400" w:hRule="atLeast"/>
                <w:jc w:val="center"/>
              </w:trPr>
              <w:tc>
                <w:tcPr>
                  <w:tcW w:w="4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Arial Narrow" w:hAnsi="Arial Narrow" w:eastAsia="Arial Narrow" w:cs="Arial Narrow"/>
                      <w:color w:val="auto"/>
                      <w:sz w:val="20"/>
                      <w:szCs w:val="20"/>
                      <w:highlight w:val="none"/>
                      <w:lang w:bidi="ar"/>
                    </w:rPr>
                  </w:pPr>
                  <w:r>
                    <w:rPr>
                      <w:rFonts w:hint="default" w:ascii="Arial Narrow" w:hAnsi="Arial Narrow" w:eastAsia="Arial Narrow" w:cs="Arial Narrow"/>
                      <w:i w:val="0"/>
                      <w:iCs w:val="0"/>
                      <w:color w:val="000000"/>
                      <w:kern w:val="0"/>
                      <w:sz w:val="20"/>
                      <w:szCs w:val="20"/>
                      <w:u w:val="none"/>
                      <w:lang w:val="en-US" w:eastAsia="zh-CN" w:bidi="ar"/>
                    </w:rPr>
                    <w:t>21</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cs="宋体"/>
                      <w:color w:val="auto"/>
                      <w:sz w:val="20"/>
                      <w:szCs w:val="20"/>
                      <w:highlight w:val="none"/>
                      <w:lang w:bidi="ar"/>
                    </w:rPr>
                  </w:pPr>
                  <w:r>
                    <w:rPr>
                      <w:rFonts w:hint="eastAsia" w:ascii="宋体" w:hAnsi="宋体" w:eastAsia="宋体" w:cs="宋体"/>
                      <w:i w:val="0"/>
                      <w:iCs w:val="0"/>
                      <w:color w:val="000000"/>
                      <w:kern w:val="0"/>
                      <w:sz w:val="20"/>
                      <w:szCs w:val="20"/>
                      <w:u w:val="none"/>
                      <w:lang w:val="en-US" w:eastAsia="zh-CN" w:bidi="ar"/>
                    </w:rPr>
                    <w:t>传递箱</w:t>
                  </w:r>
                </w:p>
              </w:tc>
              <w:tc>
                <w:tcPr>
                  <w:tcW w:w="435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cs="宋体"/>
                      <w:color w:val="auto"/>
                      <w:sz w:val="20"/>
                      <w:szCs w:val="20"/>
                      <w:highlight w:val="none"/>
                      <w:lang w:bidi="ar"/>
                    </w:rPr>
                  </w:pPr>
                  <w:r>
                    <w:rPr>
                      <w:rFonts w:hint="eastAsia" w:ascii="宋体" w:hAnsi="宋体" w:eastAsia="宋体" w:cs="宋体"/>
                      <w:i w:val="0"/>
                      <w:iCs w:val="0"/>
                      <w:color w:val="000000"/>
                      <w:kern w:val="0"/>
                      <w:sz w:val="20"/>
                      <w:szCs w:val="20"/>
                      <w:u w:val="none"/>
                      <w:lang w:val="en-US" w:eastAsia="zh-CN" w:bidi="ar"/>
                    </w:rPr>
                    <w:t>1.名称：传递箱</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2.规格：单个,600*600*600mm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2、机械互锁;</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3、带紫外线杀菌灯;</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4、箱体为1.2mm304不锈钢,门板为1.0mm304不锈钢,内胆为1.0mm201不锈钢;</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5、观察窗采用4mm厚钢化玻璃,尺寸为270*270mm;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6.工作内容：测量,成品定制、装配、五金件安装、表面清理。</w:t>
                  </w:r>
                </w:p>
              </w:tc>
              <w:tc>
                <w:tcPr>
                  <w:tcW w:w="10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cs="宋体"/>
                      <w:color w:val="auto"/>
                      <w:sz w:val="20"/>
                      <w:szCs w:val="20"/>
                      <w:highlight w:val="none"/>
                      <w:lang w:bidi="ar"/>
                    </w:rPr>
                  </w:pPr>
                  <w:r>
                    <w:rPr>
                      <w:rFonts w:hint="eastAsia" w:ascii="宋体" w:hAnsi="宋体" w:eastAsia="宋体" w:cs="宋体"/>
                      <w:i w:val="0"/>
                      <w:iCs w:val="0"/>
                      <w:color w:val="000000"/>
                      <w:kern w:val="0"/>
                      <w:sz w:val="20"/>
                      <w:szCs w:val="20"/>
                      <w:u w:val="none"/>
                      <w:lang w:val="en-US" w:eastAsia="zh-CN" w:bidi="ar"/>
                    </w:rPr>
                    <w:t>/</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cs="宋体"/>
                      <w:color w:val="auto"/>
                      <w:sz w:val="20"/>
                      <w:szCs w:val="20"/>
                      <w:highlight w:val="none"/>
                      <w:lang w:bidi="ar"/>
                    </w:rPr>
                  </w:pPr>
                  <w:r>
                    <w:rPr>
                      <w:rFonts w:hint="eastAsia" w:ascii="宋体" w:hAnsi="宋体" w:eastAsia="宋体" w:cs="宋体"/>
                      <w:i w:val="0"/>
                      <w:iCs w:val="0"/>
                      <w:color w:val="000000"/>
                      <w:kern w:val="0"/>
                      <w:sz w:val="20"/>
                      <w:szCs w:val="20"/>
                      <w:u w:val="none"/>
                      <w:lang w:val="en-US" w:eastAsia="zh-CN" w:bidi="ar"/>
                    </w:rPr>
                    <w:t>樘</w:t>
                  </w:r>
                </w:p>
              </w:tc>
              <w:tc>
                <w:tcPr>
                  <w:tcW w:w="10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cs="宋体"/>
                      <w:color w:val="auto"/>
                      <w:sz w:val="20"/>
                      <w:szCs w:val="20"/>
                      <w:highlight w:val="none"/>
                      <w:lang w:bidi="ar"/>
                    </w:rPr>
                  </w:pPr>
                  <w:r>
                    <w:rPr>
                      <w:rFonts w:hint="eastAsia" w:ascii="宋体" w:hAnsi="宋体" w:eastAsia="宋体" w:cs="宋体"/>
                      <w:i w:val="0"/>
                      <w:iCs w:val="0"/>
                      <w:color w:val="000000"/>
                      <w:kern w:val="0"/>
                      <w:sz w:val="20"/>
                      <w:szCs w:val="20"/>
                      <w:u w:val="none"/>
                      <w:lang w:val="en-US" w:eastAsia="zh-CN" w:bidi="ar"/>
                    </w:rPr>
                    <w:t xml:space="preserve">32.00 </w:t>
                  </w:r>
                </w:p>
              </w:tc>
              <w:tc>
                <w:tcPr>
                  <w:tcW w:w="6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630" w:hRule="atLeast"/>
                <w:jc w:val="center"/>
              </w:trPr>
              <w:tc>
                <w:tcPr>
                  <w:tcW w:w="4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Arial Narrow" w:hAnsi="Arial Narrow" w:eastAsia="Arial Narrow" w:cs="Arial Narrow"/>
                      <w:color w:val="auto"/>
                      <w:sz w:val="20"/>
                      <w:szCs w:val="20"/>
                      <w:highlight w:val="none"/>
                      <w:lang w:bidi="ar"/>
                    </w:rPr>
                  </w:pPr>
                  <w:r>
                    <w:rPr>
                      <w:rFonts w:hint="default" w:ascii="Arial Narrow" w:hAnsi="Arial Narrow" w:eastAsia="Arial Narrow" w:cs="Arial Narrow"/>
                      <w:i w:val="0"/>
                      <w:iCs w:val="0"/>
                      <w:color w:val="000000"/>
                      <w:kern w:val="0"/>
                      <w:sz w:val="20"/>
                      <w:szCs w:val="20"/>
                      <w:u w:val="none"/>
                      <w:lang w:val="en-US" w:eastAsia="zh-CN" w:bidi="ar"/>
                    </w:rPr>
                    <w:t>22</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cs="宋体"/>
                      <w:color w:val="auto"/>
                      <w:sz w:val="20"/>
                      <w:szCs w:val="20"/>
                      <w:highlight w:val="none"/>
                      <w:lang w:bidi="ar"/>
                    </w:rPr>
                  </w:pPr>
                  <w:r>
                    <w:rPr>
                      <w:rFonts w:hint="eastAsia" w:ascii="宋体" w:hAnsi="宋体" w:eastAsia="宋体" w:cs="宋体"/>
                      <w:i w:val="0"/>
                      <w:iCs w:val="0"/>
                      <w:color w:val="000000"/>
                      <w:kern w:val="0"/>
                      <w:sz w:val="20"/>
                      <w:szCs w:val="20"/>
                      <w:u w:val="none"/>
                      <w:lang w:val="en-US" w:eastAsia="zh-CN" w:bidi="ar"/>
                    </w:rPr>
                    <w:t>防火门</w:t>
                  </w:r>
                </w:p>
              </w:tc>
              <w:tc>
                <w:tcPr>
                  <w:tcW w:w="435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cs="宋体"/>
                      <w:color w:val="auto"/>
                      <w:sz w:val="20"/>
                      <w:szCs w:val="20"/>
                      <w:highlight w:val="none"/>
                      <w:lang w:bidi="ar"/>
                    </w:rPr>
                  </w:pPr>
                  <w:r>
                    <w:rPr>
                      <w:rFonts w:hint="eastAsia" w:ascii="宋体" w:hAnsi="宋体" w:eastAsia="宋体" w:cs="宋体"/>
                      <w:i w:val="0"/>
                      <w:iCs w:val="0"/>
                      <w:color w:val="000000"/>
                      <w:kern w:val="0"/>
                      <w:sz w:val="20"/>
                      <w:szCs w:val="20"/>
                      <w:u w:val="none"/>
                      <w:lang w:val="en-US" w:eastAsia="zh-CN" w:bidi="ar"/>
                    </w:rPr>
                    <w:t>1.名称：防火门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2.代号：FM甲1524</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3.规格：1500*2400双开</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4.安装门框安装门框、门扇、校正、安装锚固件、刷防腐油等要求详见招标文件</w:t>
                  </w:r>
                </w:p>
              </w:tc>
              <w:tc>
                <w:tcPr>
                  <w:tcW w:w="107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cs="宋体"/>
                      <w:color w:val="auto"/>
                      <w:sz w:val="20"/>
                      <w:szCs w:val="20"/>
                      <w:highlight w:val="none"/>
                      <w:lang w:bidi="ar"/>
                    </w:rPr>
                  </w:pPr>
                  <w:r>
                    <w:rPr>
                      <w:rFonts w:hint="eastAsia" w:ascii="宋体" w:hAnsi="宋体" w:eastAsia="宋体" w:cs="宋体"/>
                      <w:i w:val="0"/>
                      <w:iCs w:val="0"/>
                      <w:color w:val="000000"/>
                      <w:kern w:val="0"/>
                      <w:sz w:val="20"/>
                      <w:szCs w:val="20"/>
                      <w:u w:val="none"/>
                      <w:lang w:val="en-US" w:eastAsia="zh-CN" w:bidi="ar"/>
                    </w:rPr>
                    <w:t>/</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cs="宋体"/>
                      <w:color w:val="auto"/>
                      <w:sz w:val="20"/>
                      <w:szCs w:val="20"/>
                      <w:highlight w:val="none"/>
                      <w:lang w:bidi="ar"/>
                    </w:rPr>
                  </w:pPr>
                  <w:r>
                    <w:rPr>
                      <w:rFonts w:hint="eastAsia" w:ascii="宋体" w:hAnsi="宋体" w:eastAsia="宋体" w:cs="宋体"/>
                      <w:i w:val="0"/>
                      <w:iCs w:val="0"/>
                      <w:color w:val="000000"/>
                      <w:kern w:val="0"/>
                      <w:sz w:val="20"/>
                      <w:szCs w:val="20"/>
                      <w:u w:val="none"/>
                      <w:lang w:val="en-US" w:eastAsia="zh-CN" w:bidi="ar"/>
                    </w:rPr>
                    <w:t>樘</w:t>
                  </w:r>
                </w:p>
              </w:tc>
              <w:tc>
                <w:tcPr>
                  <w:tcW w:w="10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cs="宋体"/>
                      <w:color w:val="auto"/>
                      <w:sz w:val="20"/>
                      <w:szCs w:val="20"/>
                      <w:highlight w:val="none"/>
                      <w:lang w:bidi="ar"/>
                    </w:rPr>
                  </w:pPr>
                  <w:r>
                    <w:rPr>
                      <w:rFonts w:hint="eastAsia" w:ascii="宋体" w:hAnsi="宋体" w:eastAsia="宋体" w:cs="宋体"/>
                      <w:i w:val="0"/>
                      <w:iCs w:val="0"/>
                      <w:color w:val="000000"/>
                      <w:kern w:val="0"/>
                      <w:sz w:val="20"/>
                      <w:szCs w:val="20"/>
                      <w:u w:val="none"/>
                      <w:lang w:val="en-US" w:eastAsia="zh-CN" w:bidi="ar"/>
                    </w:rPr>
                    <w:t xml:space="preserve">3.00 </w:t>
                  </w:r>
                </w:p>
              </w:tc>
              <w:tc>
                <w:tcPr>
                  <w:tcW w:w="6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775" w:hRule="atLeast"/>
                <w:jc w:val="center"/>
              </w:trPr>
              <w:tc>
                <w:tcPr>
                  <w:tcW w:w="4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Arial Narrow" w:hAnsi="Arial Narrow" w:eastAsia="Arial Narrow" w:cs="Arial Narrow"/>
                      <w:color w:val="auto"/>
                      <w:sz w:val="20"/>
                      <w:szCs w:val="20"/>
                      <w:highlight w:val="none"/>
                      <w:lang w:bidi="ar"/>
                    </w:rPr>
                  </w:pPr>
                  <w:r>
                    <w:rPr>
                      <w:rFonts w:hint="default" w:ascii="Arial Narrow" w:hAnsi="Arial Narrow" w:eastAsia="Arial Narrow" w:cs="Arial Narrow"/>
                      <w:i w:val="0"/>
                      <w:iCs w:val="0"/>
                      <w:color w:val="000000"/>
                      <w:kern w:val="0"/>
                      <w:sz w:val="20"/>
                      <w:szCs w:val="20"/>
                      <w:u w:val="none"/>
                      <w:lang w:val="en-US" w:eastAsia="zh-CN" w:bidi="ar"/>
                    </w:rPr>
                    <w:t>23</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cs="宋体"/>
                      <w:color w:val="auto"/>
                      <w:sz w:val="20"/>
                      <w:szCs w:val="20"/>
                      <w:highlight w:val="none"/>
                      <w:lang w:bidi="ar"/>
                    </w:rPr>
                  </w:pPr>
                  <w:r>
                    <w:rPr>
                      <w:rFonts w:hint="eastAsia" w:ascii="宋体" w:hAnsi="宋体" w:eastAsia="宋体" w:cs="宋体"/>
                      <w:i w:val="0"/>
                      <w:iCs w:val="0"/>
                      <w:color w:val="000000"/>
                      <w:kern w:val="0"/>
                      <w:sz w:val="20"/>
                      <w:szCs w:val="20"/>
                      <w:u w:val="none"/>
                      <w:lang w:val="en-US" w:eastAsia="zh-CN" w:bidi="ar"/>
                    </w:rPr>
                    <w:t>防火门</w:t>
                  </w:r>
                </w:p>
              </w:tc>
              <w:tc>
                <w:tcPr>
                  <w:tcW w:w="435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cs="宋体"/>
                      <w:color w:val="auto"/>
                      <w:sz w:val="20"/>
                      <w:szCs w:val="20"/>
                      <w:highlight w:val="none"/>
                      <w:lang w:bidi="ar"/>
                    </w:rPr>
                  </w:pPr>
                  <w:r>
                    <w:rPr>
                      <w:rFonts w:hint="eastAsia" w:ascii="宋体" w:hAnsi="宋体" w:eastAsia="宋体" w:cs="宋体"/>
                      <w:i w:val="0"/>
                      <w:iCs w:val="0"/>
                      <w:color w:val="000000"/>
                      <w:kern w:val="0"/>
                      <w:sz w:val="20"/>
                      <w:szCs w:val="20"/>
                      <w:u w:val="none"/>
                      <w:lang w:val="en-US" w:eastAsia="zh-CN" w:bidi="ar"/>
                    </w:rPr>
                    <w:t>1.名称：防火门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2.代号：FM乙1524/1524a</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3.规格：1500*2400双开</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4.安装门框安装门框、门扇、校正、安装锚固件、刷防腐油等要求详见招标文件</w:t>
                  </w:r>
                </w:p>
              </w:tc>
              <w:tc>
                <w:tcPr>
                  <w:tcW w:w="107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cs="宋体"/>
                      <w:color w:val="auto"/>
                      <w:sz w:val="20"/>
                      <w:szCs w:val="20"/>
                      <w:highlight w:val="none"/>
                      <w:lang w:bidi="ar"/>
                    </w:rPr>
                  </w:pPr>
                  <w:r>
                    <w:rPr>
                      <w:rFonts w:hint="eastAsia" w:ascii="宋体" w:hAnsi="宋体" w:eastAsia="宋体" w:cs="宋体"/>
                      <w:i w:val="0"/>
                      <w:iCs w:val="0"/>
                      <w:color w:val="000000"/>
                      <w:kern w:val="0"/>
                      <w:sz w:val="20"/>
                      <w:szCs w:val="20"/>
                      <w:u w:val="none"/>
                      <w:lang w:val="en-US" w:eastAsia="zh-CN" w:bidi="ar"/>
                    </w:rPr>
                    <w:t>/</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cs="宋体"/>
                      <w:color w:val="auto"/>
                      <w:sz w:val="20"/>
                      <w:szCs w:val="20"/>
                      <w:highlight w:val="none"/>
                      <w:lang w:bidi="ar"/>
                    </w:rPr>
                  </w:pPr>
                  <w:r>
                    <w:rPr>
                      <w:rFonts w:hint="eastAsia" w:ascii="宋体" w:hAnsi="宋体" w:eastAsia="宋体" w:cs="宋体"/>
                      <w:i w:val="0"/>
                      <w:iCs w:val="0"/>
                      <w:color w:val="000000"/>
                      <w:kern w:val="0"/>
                      <w:sz w:val="20"/>
                      <w:szCs w:val="20"/>
                      <w:u w:val="none"/>
                      <w:lang w:val="en-US" w:eastAsia="zh-CN" w:bidi="ar"/>
                    </w:rPr>
                    <w:t>樘</w:t>
                  </w:r>
                </w:p>
              </w:tc>
              <w:tc>
                <w:tcPr>
                  <w:tcW w:w="10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cs="宋体"/>
                      <w:color w:val="auto"/>
                      <w:sz w:val="20"/>
                      <w:szCs w:val="20"/>
                      <w:highlight w:val="none"/>
                      <w:lang w:bidi="ar"/>
                    </w:rPr>
                  </w:pPr>
                  <w:r>
                    <w:rPr>
                      <w:rFonts w:hint="eastAsia" w:ascii="宋体" w:hAnsi="宋体" w:eastAsia="宋体" w:cs="宋体"/>
                      <w:i w:val="0"/>
                      <w:iCs w:val="0"/>
                      <w:color w:val="000000"/>
                      <w:kern w:val="0"/>
                      <w:sz w:val="20"/>
                      <w:szCs w:val="20"/>
                      <w:u w:val="none"/>
                      <w:lang w:val="en-US" w:eastAsia="zh-CN" w:bidi="ar"/>
                    </w:rPr>
                    <w:t xml:space="preserve">22.00 </w:t>
                  </w:r>
                </w:p>
              </w:tc>
              <w:tc>
                <w:tcPr>
                  <w:tcW w:w="6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828" w:hRule="atLeast"/>
                <w:jc w:val="center"/>
              </w:trPr>
              <w:tc>
                <w:tcPr>
                  <w:tcW w:w="4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Arial Narrow" w:hAnsi="Arial Narrow" w:eastAsia="Arial Narrow" w:cs="Arial Narrow"/>
                      <w:color w:val="auto"/>
                      <w:sz w:val="20"/>
                      <w:szCs w:val="20"/>
                      <w:highlight w:val="none"/>
                      <w:lang w:bidi="ar"/>
                    </w:rPr>
                  </w:pPr>
                  <w:r>
                    <w:rPr>
                      <w:rFonts w:hint="default" w:ascii="Arial Narrow" w:hAnsi="Arial Narrow" w:eastAsia="Arial Narrow" w:cs="Arial Narrow"/>
                      <w:i w:val="0"/>
                      <w:iCs w:val="0"/>
                      <w:color w:val="000000"/>
                      <w:kern w:val="0"/>
                      <w:sz w:val="20"/>
                      <w:szCs w:val="20"/>
                      <w:u w:val="none"/>
                      <w:lang w:val="en-US" w:eastAsia="zh-CN" w:bidi="ar"/>
                    </w:rPr>
                    <w:t>24</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cs="宋体"/>
                      <w:color w:val="auto"/>
                      <w:sz w:val="20"/>
                      <w:szCs w:val="20"/>
                      <w:highlight w:val="none"/>
                      <w:lang w:bidi="ar"/>
                    </w:rPr>
                  </w:pPr>
                  <w:r>
                    <w:rPr>
                      <w:rFonts w:hint="eastAsia" w:ascii="宋体" w:hAnsi="宋体" w:eastAsia="宋体" w:cs="宋体"/>
                      <w:i w:val="0"/>
                      <w:iCs w:val="0"/>
                      <w:color w:val="000000"/>
                      <w:kern w:val="0"/>
                      <w:sz w:val="20"/>
                      <w:szCs w:val="20"/>
                      <w:u w:val="none"/>
                      <w:lang w:val="en-US" w:eastAsia="zh-CN" w:bidi="ar"/>
                    </w:rPr>
                    <w:t>防火门</w:t>
                  </w:r>
                </w:p>
              </w:tc>
              <w:tc>
                <w:tcPr>
                  <w:tcW w:w="435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cs="宋体"/>
                      <w:color w:val="auto"/>
                      <w:sz w:val="20"/>
                      <w:szCs w:val="20"/>
                      <w:highlight w:val="none"/>
                      <w:lang w:bidi="ar"/>
                    </w:rPr>
                  </w:pPr>
                  <w:r>
                    <w:rPr>
                      <w:rFonts w:hint="eastAsia" w:ascii="宋体" w:hAnsi="宋体" w:eastAsia="宋体" w:cs="宋体"/>
                      <w:i w:val="0"/>
                      <w:iCs w:val="0"/>
                      <w:color w:val="000000"/>
                      <w:kern w:val="0"/>
                      <w:sz w:val="20"/>
                      <w:szCs w:val="20"/>
                      <w:u w:val="none"/>
                      <w:lang w:val="en-US" w:eastAsia="zh-CN" w:bidi="ar"/>
                    </w:rPr>
                    <w:t>1.名称：防火门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2.代号：FM乙1524（1524）</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3.规格：1500*2400双开</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4.安装门框安装门框、门扇、校正、安装锚固件、刷防腐油等要求详见招标文件</w:t>
                  </w:r>
                </w:p>
              </w:tc>
              <w:tc>
                <w:tcPr>
                  <w:tcW w:w="107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cs="宋体"/>
                      <w:color w:val="auto"/>
                      <w:sz w:val="20"/>
                      <w:szCs w:val="20"/>
                      <w:highlight w:val="none"/>
                      <w:lang w:bidi="ar"/>
                    </w:rPr>
                  </w:pPr>
                  <w:r>
                    <w:rPr>
                      <w:rFonts w:hint="eastAsia" w:ascii="宋体" w:hAnsi="宋体" w:eastAsia="宋体" w:cs="宋体"/>
                      <w:i w:val="0"/>
                      <w:iCs w:val="0"/>
                      <w:color w:val="000000"/>
                      <w:kern w:val="0"/>
                      <w:sz w:val="20"/>
                      <w:szCs w:val="20"/>
                      <w:u w:val="none"/>
                      <w:lang w:val="en-US" w:eastAsia="zh-CN" w:bidi="ar"/>
                    </w:rPr>
                    <w:t>/</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cs="宋体"/>
                      <w:color w:val="auto"/>
                      <w:sz w:val="20"/>
                      <w:szCs w:val="20"/>
                      <w:highlight w:val="none"/>
                      <w:lang w:bidi="ar"/>
                    </w:rPr>
                  </w:pPr>
                  <w:r>
                    <w:rPr>
                      <w:rFonts w:hint="eastAsia" w:ascii="宋体" w:hAnsi="宋体" w:eastAsia="宋体" w:cs="宋体"/>
                      <w:i w:val="0"/>
                      <w:iCs w:val="0"/>
                      <w:color w:val="000000"/>
                      <w:kern w:val="0"/>
                      <w:sz w:val="20"/>
                      <w:szCs w:val="20"/>
                      <w:u w:val="none"/>
                      <w:lang w:val="en-US" w:eastAsia="zh-CN" w:bidi="ar"/>
                    </w:rPr>
                    <w:t>樘</w:t>
                  </w:r>
                </w:p>
              </w:tc>
              <w:tc>
                <w:tcPr>
                  <w:tcW w:w="10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cs="宋体"/>
                      <w:color w:val="auto"/>
                      <w:sz w:val="20"/>
                      <w:szCs w:val="20"/>
                      <w:highlight w:val="none"/>
                      <w:lang w:bidi="ar"/>
                    </w:rPr>
                  </w:pPr>
                  <w:r>
                    <w:rPr>
                      <w:rFonts w:hint="eastAsia" w:ascii="宋体" w:hAnsi="宋体" w:eastAsia="宋体" w:cs="宋体"/>
                      <w:i w:val="0"/>
                      <w:iCs w:val="0"/>
                      <w:color w:val="000000"/>
                      <w:kern w:val="0"/>
                      <w:sz w:val="20"/>
                      <w:szCs w:val="20"/>
                      <w:u w:val="none"/>
                      <w:lang w:val="en-US" w:eastAsia="zh-CN" w:bidi="ar"/>
                    </w:rPr>
                    <w:t xml:space="preserve">1.00 </w:t>
                  </w:r>
                </w:p>
              </w:tc>
              <w:tc>
                <w:tcPr>
                  <w:tcW w:w="6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880" w:hRule="atLeast"/>
                <w:jc w:val="center"/>
              </w:trPr>
              <w:tc>
                <w:tcPr>
                  <w:tcW w:w="4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Arial Narrow" w:hAnsi="Arial Narrow" w:eastAsia="Arial Narrow" w:cs="Arial Narrow"/>
                      <w:color w:val="auto"/>
                      <w:sz w:val="20"/>
                      <w:szCs w:val="20"/>
                      <w:highlight w:val="none"/>
                      <w:lang w:bidi="ar"/>
                    </w:rPr>
                  </w:pPr>
                  <w:r>
                    <w:rPr>
                      <w:rFonts w:hint="default" w:ascii="Arial Narrow" w:hAnsi="Arial Narrow" w:eastAsia="Arial Narrow" w:cs="Arial Narrow"/>
                      <w:i w:val="0"/>
                      <w:iCs w:val="0"/>
                      <w:color w:val="000000"/>
                      <w:kern w:val="0"/>
                      <w:sz w:val="20"/>
                      <w:szCs w:val="20"/>
                      <w:u w:val="none"/>
                      <w:lang w:val="en-US" w:eastAsia="zh-CN" w:bidi="ar"/>
                    </w:rPr>
                    <w:t>25</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cs="宋体"/>
                      <w:color w:val="auto"/>
                      <w:sz w:val="20"/>
                      <w:szCs w:val="20"/>
                      <w:highlight w:val="none"/>
                      <w:lang w:bidi="ar"/>
                    </w:rPr>
                  </w:pPr>
                  <w:r>
                    <w:rPr>
                      <w:rFonts w:hint="eastAsia" w:ascii="宋体" w:hAnsi="宋体" w:eastAsia="宋体" w:cs="宋体"/>
                      <w:i w:val="0"/>
                      <w:iCs w:val="0"/>
                      <w:color w:val="000000"/>
                      <w:kern w:val="0"/>
                      <w:sz w:val="20"/>
                      <w:szCs w:val="20"/>
                      <w:u w:val="none"/>
                      <w:lang w:val="en-US" w:eastAsia="zh-CN" w:bidi="ar"/>
                    </w:rPr>
                    <w:t>防火门</w:t>
                  </w:r>
                </w:p>
              </w:tc>
              <w:tc>
                <w:tcPr>
                  <w:tcW w:w="435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cs="宋体"/>
                      <w:color w:val="auto"/>
                      <w:sz w:val="20"/>
                      <w:szCs w:val="20"/>
                      <w:highlight w:val="none"/>
                      <w:lang w:bidi="ar"/>
                    </w:rPr>
                  </w:pPr>
                  <w:r>
                    <w:rPr>
                      <w:rFonts w:hint="eastAsia" w:ascii="宋体" w:hAnsi="宋体" w:eastAsia="宋体" w:cs="宋体"/>
                      <w:i w:val="0"/>
                      <w:iCs w:val="0"/>
                      <w:color w:val="000000"/>
                      <w:kern w:val="0"/>
                      <w:sz w:val="20"/>
                      <w:szCs w:val="20"/>
                      <w:u w:val="none"/>
                      <w:lang w:val="en-US" w:eastAsia="zh-CN" w:bidi="ar"/>
                    </w:rPr>
                    <w:t>1.名称：防火门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2.代号：FM甲1124</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3.规格：1100*2400单开</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4.安装门框安装门框、门扇、校正、安装锚固件、刷防腐油等要求详见招标文件</w:t>
                  </w:r>
                </w:p>
              </w:tc>
              <w:tc>
                <w:tcPr>
                  <w:tcW w:w="107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color w:val="auto"/>
                      <w:sz w:val="20"/>
                      <w:szCs w:val="20"/>
                      <w:highlight w:val="none"/>
                      <w:lang w:val="en-US" w:eastAsia="zh-CN" w:bidi="ar"/>
                    </w:rPr>
                  </w:pPr>
                  <w:r>
                    <w:rPr>
                      <w:rFonts w:hint="eastAsia" w:ascii="宋体" w:hAnsi="宋体" w:cs="宋体"/>
                      <w:color w:val="auto"/>
                      <w:sz w:val="20"/>
                      <w:szCs w:val="20"/>
                      <w:highlight w:val="none"/>
                      <w:lang w:val="en-US" w:eastAsia="zh-CN" w:bidi="ar"/>
                    </w:rPr>
                    <w:t>/</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cs="宋体"/>
                      <w:color w:val="auto"/>
                      <w:sz w:val="20"/>
                      <w:szCs w:val="20"/>
                      <w:highlight w:val="none"/>
                      <w:lang w:bidi="ar"/>
                    </w:rPr>
                  </w:pPr>
                  <w:r>
                    <w:rPr>
                      <w:rFonts w:hint="eastAsia" w:ascii="宋体" w:hAnsi="宋体" w:eastAsia="宋体" w:cs="宋体"/>
                      <w:i w:val="0"/>
                      <w:iCs w:val="0"/>
                      <w:color w:val="000000"/>
                      <w:kern w:val="0"/>
                      <w:sz w:val="20"/>
                      <w:szCs w:val="20"/>
                      <w:u w:val="none"/>
                      <w:lang w:val="en-US" w:eastAsia="zh-CN" w:bidi="ar"/>
                    </w:rPr>
                    <w:t>樘</w:t>
                  </w:r>
                </w:p>
              </w:tc>
              <w:tc>
                <w:tcPr>
                  <w:tcW w:w="10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cs="宋体"/>
                      <w:color w:val="auto"/>
                      <w:sz w:val="20"/>
                      <w:szCs w:val="20"/>
                      <w:highlight w:val="none"/>
                      <w:lang w:bidi="ar"/>
                    </w:rPr>
                  </w:pPr>
                  <w:r>
                    <w:rPr>
                      <w:rFonts w:hint="eastAsia" w:ascii="宋体" w:hAnsi="宋体" w:eastAsia="宋体" w:cs="宋体"/>
                      <w:i w:val="0"/>
                      <w:iCs w:val="0"/>
                      <w:color w:val="000000"/>
                      <w:kern w:val="0"/>
                      <w:sz w:val="20"/>
                      <w:szCs w:val="20"/>
                      <w:u w:val="none"/>
                      <w:lang w:val="en-US" w:eastAsia="zh-CN" w:bidi="ar"/>
                    </w:rPr>
                    <w:t xml:space="preserve">8.00 </w:t>
                  </w:r>
                </w:p>
              </w:tc>
              <w:tc>
                <w:tcPr>
                  <w:tcW w:w="6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413" w:hRule="atLeast"/>
                <w:jc w:val="center"/>
              </w:trPr>
              <w:tc>
                <w:tcPr>
                  <w:tcW w:w="4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Arial Narrow" w:hAnsi="Arial Narrow" w:eastAsia="Arial Narrow" w:cs="Arial Narrow"/>
                      <w:color w:val="auto"/>
                      <w:sz w:val="20"/>
                      <w:szCs w:val="20"/>
                      <w:highlight w:val="none"/>
                      <w:lang w:bidi="ar"/>
                    </w:rPr>
                  </w:pPr>
                  <w:r>
                    <w:rPr>
                      <w:rFonts w:hint="default" w:ascii="Arial Narrow" w:hAnsi="Arial Narrow" w:eastAsia="Arial Narrow" w:cs="Arial Narrow"/>
                      <w:i w:val="0"/>
                      <w:iCs w:val="0"/>
                      <w:color w:val="000000"/>
                      <w:kern w:val="0"/>
                      <w:sz w:val="20"/>
                      <w:szCs w:val="20"/>
                      <w:u w:val="none"/>
                      <w:lang w:val="en-US" w:eastAsia="zh-CN" w:bidi="ar"/>
                    </w:rPr>
                    <w:t>26</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cs="宋体"/>
                      <w:color w:val="auto"/>
                      <w:sz w:val="20"/>
                      <w:szCs w:val="20"/>
                      <w:highlight w:val="none"/>
                      <w:lang w:bidi="ar"/>
                    </w:rPr>
                  </w:pPr>
                  <w:r>
                    <w:rPr>
                      <w:rFonts w:hint="eastAsia" w:ascii="宋体" w:hAnsi="宋体" w:eastAsia="宋体" w:cs="宋体"/>
                      <w:i w:val="0"/>
                      <w:iCs w:val="0"/>
                      <w:color w:val="000000"/>
                      <w:kern w:val="0"/>
                      <w:sz w:val="20"/>
                      <w:szCs w:val="20"/>
                      <w:u w:val="none"/>
                      <w:lang w:val="en-US" w:eastAsia="zh-CN" w:bidi="ar"/>
                    </w:rPr>
                    <w:t>防火门</w:t>
                  </w:r>
                </w:p>
              </w:tc>
              <w:tc>
                <w:tcPr>
                  <w:tcW w:w="435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cs="宋体"/>
                      <w:color w:val="auto"/>
                      <w:sz w:val="20"/>
                      <w:szCs w:val="20"/>
                      <w:highlight w:val="none"/>
                      <w:lang w:bidi="ar"/>
                    </w:rPr>
                  </w:pPr>
                  <w:r>
                    <w:rPr>
                      <w:rFonts w:hint="eastAsia" w:ascii="宋体" w:hAnsi="宋体" w:eastAsia="宋体" w:cs="宋体"/>
                      <w:i w:val="0"/>
                      <w:iCs w:val="0"/>
                      <w:color w:val="000000"/>
                      <w:kern w:val="0"/>
                      <w:sz w:val="20"/>
                      <w:szCs w:val="20"/>
                      <w:u w:val="none"/>
                      <w:lang w:val="en-US" w:eastAsia="zh-CN" w:bidi="ar"/>
                    </w:rPr>
                    <w:t>1.名称：防火门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2.代号：FM乙1124</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3.规格：1100*2400单开</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4.安装门框安装门框、门扇、校正、安装锚固件、刷防腐油等要求详见招标文件</w:t>
                  </w:r>
                </w:p>
              </w:tc>
              <w:tc>
                <w:tcPr>
                  <w:tcW w:w="107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color w:val="auto"/>
                      <w:sz w:val="20"/>
                      <w:szCs w:val="20"/>
                      <w:highlight w:val="none"/>
                      <w:lang w:val="en-US" w:eastAsia="zh-CN" w:bidi="ar"/>
                    </w:rPr>
                  </w:pPr>
                  <w:r>
                    <w:rPr>
                      <w:rFonts w:hint="eastAsia" w:ascii="宋体" w:hAnsi="宋体" w:cs="宋体"/>
                      <w:color w:val="auto"/>
                      <w:sz w:val="20"/>
                      <w:szCs w:val="20"/>
                      <w:highlight w:val="none"/>
                      <w:lang w:val="en-US" w:eastAsia="zh-CN" w:bidi="ar"/>
                    </w:rPr>
                    <w:t>/</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cs="宋体"/>
                      <w:color w:val="auto"/>
                      <w:sz w:val="20"/>
                      <w:szCs w:val="20"/>
                      <w:highlight w:val="none"/>
                      <w:lang w:bidi="ar"/>
                    </w:rPr>
                  </w:pPr>
                  <w:r>
                    <w:rPr>
                      <w:rFonts w:hint="eastAsia" w:ascii="宋体" w:hAnsi="宋体" w:eastAsia="宋体" w:cs="宋体"/>
                      <w:i w:val="0"/>
                      <w:iCs w:val="0"/>
                      <w:color w:val="000000"/>
                      <w:kern w:val="0"/>
                      <w:sz w:val="20"/>
                      <w:szCs w:val="20"/>
                      <w:u w:val="none"/>
                      <w:lang w:val="en-US" w:eastAsia="zh-CN" w:bidi="ar"/>
                    </w:rPr>
                    <w:t>樘</w:t>
                  </w:r>
                </w:p>
              </w:tc>
              <w:tc>
                <w:tcPr>
                  <w:tcW w:w="10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cs="宋体"/>
                      <w:color w:val="auto"/>
                      <w:sz w:val="20"/>
                      <w:szCs w:val="20"/>
                      <w:highlight w:val="none"/>
                      <w:lang w:bidi="ar"/>
                    </w:rPr>
                  </w:pPr>
                  <w:r>
                    <w:rPr>
                      <w:rFonts w:hint="eastAsia" w:ascii="宋体" w:hAnsi="宋体" w:eastAsia="宋体" w:cs="宋体"/>
                      <w:i w:val="0"/>
                      <w:iCs w:val="0"/>
                      <w:color w:val="000000"/>
                      <w:kern w:val="0"/>
                      <w:sz w:val="20"/>
                      <w:szCs w:val="20"/>
                      <w:u w:val="none"/>
                      <w:lang w:val="en-US" w:eastAsia="zh-CN" w:bidi="ar"/>
                    </w:rPr>
                    <w:t xml:space="preserve">24.00 </w:t>
                  </w:r>
                </w:p>
              </w:tc>
              <w:tc>
                <w:tcPr>
                  <w:tcW w:w="6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713" w:hRule="atLeast"/>
                <w:jc w:val="center"/>
              </w:trPr>
              <w:tc>
                <w:tcPr>
                  <w:tcW w:w="4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Arial Narrow" w:hAnsi="Arial Narrow" w:eastAsia="Arial Narrow" w:cs="Arial Narrow"/>
                      <w:color w:val="auto"/>
                      <w:sz w:val="20"/>
                      <w:szCs w:val="20"/>
                      <w:highlight w:val="none"/>
                      <w:lang w:bidi="ar"/>
                    </w:rPr>
                  </w:pPr>
                  <w:r>
                    <w:rPr>
                      <w:rFonts w:hint="default" w:ascii="Arial Narrow" w:hAnsi="Arial Narrow" w:eastAsia="Arial Narrow" w:cs="Arial Narrow"/>
                      <w:i w:val="0"/>
                      <w:iCs w:val="0"/>
                      <w:color w:val="000000"/>
                      <w:kern w:val="0"/>
                      <w:sz w:val="20"/>
                      <w:szCs w:val="20"/>
                      <w:u w:val="none"/>
                      <w:lang w:val="en-US" w:eastAsia="zh-CN" w:bidi="ar"/>
                    </w:rPr>
                    <w:t>27</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cs="宋体"/>
                      <w:color w:val="auto"/>
                      <w:sz w:val="20"/>
                      <w:szCs w:val="20"/>
                      <w:highlight w:val="none"/>
                      <w:lang w:bidi="ar"/>
                    </w:rPr>
                  </w:pPr>
                  <w:r>
                    <w:rPr>
                      <w:rFonts w:hint="eastAsia" w:ascii="宋体" w:hAnsi="宋体" w:eastAsia="宋体" w:cs="宋体"/>
                      <w:i w:val="0"/>
                      <w:iCs w:val="0"/>
                      <w:color w:val="000000"/>
                      <w:kern w:val="0"/>
                      <w:sz w:val="20"/>
                      <w:szCs w:val="20"/>
                      <w:u w:val="none"/>
                      <w:lang w:val="en-US" w:eastAsia="zh-CN" w:bidi="ar"/>
                    </w:rPr>
                    <w:t>防火门</w:t>
                  </w:r>
                </w:p>
              </w:tc>
              <w:tc>
                <w:tcPr>
                  <w:tcW w:w="435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cs="宋体"/>
                      <w:color w:val="auto"/>
                      <w:sz w:val="20"/>
                      <w:szCs w:val="20"/>
                      <w:highlight w:val="none"/>
                      <w:lang w:bidi="ar"/>
                    </w:rPr>
                  </w:pPr>
                  <w:r>
                    <w:rPr>
                      <w:rFonts w:hint="eastAsia" w:ascii="宋体" w:hAnsi="宋体" w:eastAsia="宋体" w:cs="宋体"/>
                      <w:i w:val="0"/>
                      <w:iCs w:val="0"/>
                      <w:color w:val="000000"/>
                      <w:kern w:val="0"/>
                      <w:sz w:val="20"/>
                      <w:szCs w:val="20"/>
                      <w:u w:val="none"/>
                      <w:lang w:val="en-US" w:eastAsia="zh-CN" w:bidi="ar"/>
                    </w:rPr>
                    <w:t>1.名称：防火门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2.代号：FM丙0623</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3.规格：600*2300单开</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4.安装门框安装门框、门扇、校正、安装锚固件、刷防腐油等要求详见招标文件</w:t>
                  </w:r>
                </w:p>
              </w:tc>
              <w:tc>
                <w:tcPr>
                  <w:tcW w:w="107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color w:val="auto"/>
                      <w:sz w:val="20"/>
                      <w:szCs w:val="20"/>
                      <w:highlight w:val="none"/>
                      <w:lang w:val="en-US" w:eastAsia="zh-CN" w:bidi="ar"/>
                    </w:rPr>
                  </w:pPr>
                  <w:r>
                    <w:rPr>
                      <w:rFonts w:hint="eastAsia" w:ascii="宋体" w:hAnsi="宋体" w:cs="宋体"/>
                      <w:color w:val="auto"/>
                      <w:sz w:val="20"/>
                      <w:szCs w:val="20"/>
                      <w:highlight w:val="none"/>
                      <w:lang w:val="en-US" w:eastAsia="zh-CN" w:bidi="ar"/>
                    </w:rPr>
                    <w:t>/</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cs="宋体"/>
                      <w:color w:val="auto"/>
                      <w:sz w:val="20"/>
                      <w:szCs w:val="20"/>
                      <w:highlight w:val="none"/>
                      <w:lang w:bidi="ar"/>
                    </w:rPr>
                  </w:pPr>
                  <w:r>
                    <w:rPr>
                      <w:rFonts w:hint="eastAsia" w:ascii="宋体" w:hAnsi="宋体" w:eastAsia="宋体" w:cs="宋体"/>
                      <w:i w:val="0"/>
                      <w:iCs w:val="0"/>
                      <w:color w:val="000000"/>
                      <w:kern w:val="0"/>
                      <w:sz w:val="20"/>
                      <w:szCs w:val="20"/>
                      <w:u w:val="none"/>
                      <w:lang w:val="en-US" w:eastAsia="zh-CN" w:bidi="ar"/>
                    </w:rPr>
                    <w:t>樘</w:t>
                  </w:r>
                </w:p>
              </w:tc>
              <w:tc>
                <w:tcPr>
                  <w:tcW w:w="10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cs="宋体"/>
                      <w:color w:val="auto"/>
                      <w:sz w:val="20"/>
                      <w:szCs w:val="20"/>
                      <w:highlight w:val="none"/>
                      <w:lang w:bidi="ar"/>
                    </w:rPr>
                  </w:pPr>
                  <w:r>
                    <w:rPr>
                      <w:rFonts w:hint="eastAsia" w:ascii="宋体" w:hAnsi="宋体" w:eastAsia="宋体" w:cs="宋体"/>
                      <w:i w:val="0"/>
                      <w:iCs w:val="0"/>
                      <w:color w:val="000000"/>
                      <w:kern w:val="0"/>
                      <w:sz w:val="20"/>
                      <w:szCs w:val="20"/>
                      <w:u w:val="none"/>
                      <w:lang w:val="en-US" w:eastAsia="zh-CN" w:bidi="ar"/>
                    </w:rPr>
                    <w:t xml:space="preserve">2.00 </w:t>
                  </w:r>
                </w:p>
              </w:tc>
              <w:tc>
                <w:tcPr>
                  <w:tcW w:w="6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722" w:hRule="atLeast"/>
                <w:jc w:val="center"/>
              </w:trPr>
              <w:tc>
                <w:tcPr>
                  <w:tcW w:w="4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Arial Narrow" w:hAnsi="Arial Narrow" w:eastAsia="Arial Narrow" w:cs="Arial Narrow"/>
                      <w:color w:val="auto"/>
                      <w:sz w:val="20"/>
                      <w:szCs w:val="20"/>
                      <w:highlight w:val="none"/>
                      <w:lang w:bidi="ar"/>
                    </w:rPr>
                  </w:pPr>
                  <w:r>
                    <w:rPr>
                      <w:rFonts w:hint="default" w:ascii="Arial Narrow" w:hAnsi="Arial Narrow" w:eastAsia="Arial Narrow" w:cs="Arial Narrow"/>
                      <w:i w:val="0"/>
                      <w:iCs w:val="0"/>
                      <w:color w:val="000000"/>
                      <w:kern w:val="0"/>
                      <w:sz w:val="20"/>
                      <w:szCs w:val="20"/>
                      <w:u w:val="none"/>
                      <w:lang w:val="en-US" w:eastAsia="zh-CN" w:bidi="ar"/>
                    </w:rPr>
                    <w:t>28</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cs="宋体"/>
                      <w:color w:val="auto"/>
                      <w:sz w:val="20"/>
                      <w:szCs w:val="20"/>
                      <w:highlight w:val="none"/>
                      <w:lang w:bidi="ar"/>
                    </w:rPr>
                  </w:pPr>
                  <w:r>
                    <w:rPr>
                      <w:rFonts w:hint="eastAsia" w:ascii="宋体" w:hAnsi="宋体" w:eastAsia="宋体" w:cs="宋体"/>
                      <w:i w:val="0"/>
                      <w:iCs w:val="0"/>
                      <w:color w:val="000000"/>
                      <w:kern w:val="0"/>
                      <w:sz w:val="20"/>
                      <w:szCs w:val="20"/>
                      <w:u w:val="none"/>
                      <w:lang w:val="en-US" w:eastAsia="zh-CN" w:bidi="ar"/>
                    </w:rPr>
                    <w:t>防火门</w:t>
                  </w:r>
                </w:p>
              </w:tc>
              <w:tc>
                <w:tcPr>
                  <w:tcW w:w="435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cs="宋体"/>
                      <w:color w:val="auto"/>
                      <w:sz w:val="20"/>
                      <w:szCs w:val="20"/>
                      <w:highlight w:val="none"/>
                      <w:lang w:bidi="ar"/>
                    </w:rPr>
                  </w:pPr>
                  <w:r>
                    <w:rPr>
                      <w:rFonts w:hint="eastAsia" w:ascii="宋体" w:hAnsi="宋体" w:eastAsia="宋体" w:cs="宋体"/>
                      <w:i w:val="0"/>
                      <w:iCs w:val="0"/>
                      <w:color w:val="000000"/>
                      <w:kern w:val="0"/>
                      <w:sz w:val="20"/>
                      <w:szCs w:val="20"/>
                      <w:u w:val="none"/>
                      <w:lang w:val="en-US" w:eastAsia="zh-CN" w:bidi="ar"/>
                    </w:rPr>
                    <w:t>1.名称：防火门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2.代号：FM甲0620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3.规格：600*2000单开</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4.安装门框安装门框、门扇、校正、安装锚固件、刷防腐油等要求详见招标文件</w:t>
                  </w:r>
                </w:p>
              </w:tc>
              <w:tc>
                <w:tcPr>
                  <w:tcW w:w="107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color w:val="auto"/>
                      <w:sz w:val="20"/>
                      <w:szCs w:val="20"/>
                      <w:highlight w:val="none"/>
                      <w:lang w:val="en-US" w:eastAsia="zh-CN" w:bidi="ar"/>
                    </w:rPr>
                  </w:pPr>
                  <w:r>
                    <w:rPr>
                      <w:rFonts w:hint="eastAsia" w:ascii="宋体" w:hAnsi="宋体" w:cs="宋体"/>
                      <w:color w:val="auto"/>
                      <w:sz w:val="20"/>
                      <w:szCs w:val="20"/>
                      <w:highlight w:val="none"/>
                      <w:lang w:val="en-US" w:eastAsia="zh-CN" w:bidi="ar"/>
                    </w:rPr>
                    <w:t>/</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cs="宋体"/>
                      <w:color w:val="auto"/>
                      <w:sz w:val="20"/>
                      <w:szCs w:val="20"/>
                      <w:highlight w:val="none"/>
                      <w:lang w:bidi="ar"/>
                    </w:rPr>
                  </w:pPr>
                  <w:r>
                    <w:rPr>
                      <w:rFonts w:hint="eastAsia" w:ascii="宋体" w:hAnsi="宋体" w:eastAsia="宋体" w:cs="宋体"/>
                      <w:i w:val="0"/>
                      <w:iCs w:val="0"/>
                      <w:color w:val="000000"/>
                      <w:kern w:val="0"/>
                      <w:sz w:val="20"/>
                      <w:szCs w:val="20"/>
                      <w:u w:val="none"/>
                      <w:lang w:val="en-US" w:eastAsia="zh-CN" w:bidi="ar"/>
                    </w:rPr>
                    <w:t>樘</w:t>
                  </w:r>
                </w:p>
              </w:tc>
              <w:tc>
                <w:tcPr>
                  <w:tcW w:w="10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cs="宋体"/>
                      <w:color w:val="auto"/>
                      <w:sz w:val="20"/>
                      <w:szCs w:val="20"/>
                      <w:highlight w:val="none"/>
                      <w:lang w:bidi="ar"/>
                    </w:rPr>
                  </w:pPr>
                  <w:r>
                    <w:rPr>
                      <w:rFonts w:hint="eastAsia" w:ascii="宋体" w:hAnsi="宋体" w:eastAsia="宋体" w:cs="宋体"/>
                      <w:i w:val="0"/>
                      <w:iCs w:val="0"/>
                      <w:color w:val="000000"/>
                      <w:kern w:val="0"/>
                      <w:sz w:val="20"/>
                      <w:szCs w:val="20"/>
                      <w:u w:val="none"/>
                      <w:lang w:val="en-US" w:eastAsia="zh-CN" w:bidi="ar"/>
                    </w:rPr>
                    <w:t xml:space="preserve">2.00 </w:t>
                  </w:r>
                </w:p>
              </w:tc>
              <w:tc>
                <w:tcPr>
                  <w:tcW w:w="6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700" w:hRule="atLeast"/>
                <w:jc w:val="center"/>
              </w:trPr>
              <w:tc>
                <w:tcPr>
                  <w:tcW w:w="4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Arial Narrow" w:hAnsi="Arial Narrow" w:eastAsia="Arial Narrow" w:cs="Arial Narrow"/>
                      <w:color w:val="auto"/>
                      <w:sz w:val="20"/>
                      <w:szCs w:val="20"/>
                      <w:highlight w:val="none"/>
                      <w:lang w:bidi="ar"/>
                    </w:rPr>
                  </w:pPr>
                  <w:r>
                    <w:rPr>
                      <w:rFonts w:hint="default" w:ascii="Arial Narrow" w:hAnsi="Arial Narrow" w:eastAsia="Arial Narrow" w:cs="Arial Narrow"/>
                      <w:i w:val="0"/>
                      <w:iCs w:val="0"/>
                      <w:color w:val="000000"/>
                      <w:kern w:val="0"/>
                      <w:sz w:val="20"/>
                      <w:szCs w:val="20"/>
                      <w:u w:val="none"/>
                      <w:lang w:val="en-US" w:eastAsia="zh-CN" w:bidi="ar"/>
                    </w:rPr>
                    <w:t>29</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cs="宋体"/>
                      <w:color w:val="auto"/>
                      <w:sz w:val="20"/>
                      <w:szCs w:val="20"/>
                      <w:highlight w:val="none"/>
                      <w:lang w:bidi="ar"/>
                    </w:rPr>
                  </w:pPr>
                  <w:r>
                    <w:rPr>
                      <w:rFonts w:hint="eastAsia" w:ascii="宋体" w:hAnsi="宋体" w:eastAsia="宋体" w:cs="宋体"/>
                      <w:i w:val="0"/>
                      <w:iCs w:val="0"/>
                      <w:color w:val="000000"/>
                      <w:kern w:val="0"/>
                      <w:sz w:val="20"/>
                      <w:szCs w:val="20"/>
                      <w:u w:val="none"/>
                      <w:lang w:val="en-US" w:eastAsia="zh-CN" w:bidi="ar"/>
                    </w:rPr>
                    <w:t>防火门</w:t>
                  </w:r>
                </w:p>
              </w:tc>
              <w:tc>
                <w:tcPr>
                  <w:tcW w:w="435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cs="宋体"/>
                      <w:color w:val="auto"/>
                      <w:sz w:val="20"/>
                      <w:szCs w:val="20"/>
                      <w:highlight w:val="none"/>
                      <w:lang w:bidi="ar"/>
                    </w:rPr>
                  </w:pPr>
                  <w:r>
                    <w:rPr>
                      <w:rFonts w:hint="eastAsia" w:ascii="宋体" w:hAnsi="宋体" w:eastAsia="宋体" w:cs="宋体"/>
                      <w:i w:val="0"/>
                      <w:iCs w:val="0"/>
                      <w:color w:val="000000"/>
                      <w:kern w:val="0"/>
                      <w:sz w:val="20"/>
                      <w:szCs w:val="20"/>
                      <w:u w:val="none"/>
                      <w:lang w:val="en-US" w:eastAsia="zh-CN" w:bidi="ar"/>
                    </w:rPr>
                    <w:t>1.名称：防火门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2.代号：FM甲1323</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3.规格：1300*2300双开</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4.安装门框安装门框、门扇、校正、安装锚固件、刷防腐油等要求详见招标文件</w:t>
                  </w:r>
                </w:p>
              </w:tc>
              <w:tc>
                <w:tcPr>
                  <w:tcW w:w="107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color w:val="auto"/>
                      <w:sz w:val="20"/>
                      <w:szCs w:val="20"/>
                      <w:highlight w:val="none"/>
                      <w:lang w:val="en-US" w:eastAsia="zh-CN" w:bidi="ar"/>
                    </w:rPr>
                  </w:pPr>
                  <w:r>
                    <w:rPr>
                      <w:rFonts w:hint="eastAsia" w:ascii="宋体" w:hAnsi="宋体" w:cs="宋体"/>
                      <w:color w:val="auto"/>
                      <w:sz w:val="20"/>
                      <w:szCs w:val="20"/>
                      <w:highlight w:val="none"/>
                      <w:lang w:val="en-US" w:eastAsia="zh-CN" w:bidi="ar"/>
                    </w:rPr>
                    <w:t>/</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cs="宋体"/>
                      <w:color w:val="auto"/>
                      <w:sz w:val="20"/>
                      <w:szCs w:val="20"/>
                      <w:highlight w:val="none"/>
                      <w:lang w:bidi="ar"/>
                    </w:rPr>
                  </w:pPr>
                  <w:r>
                    <w:rPr>
                      <w:rFonts w:hint="eastAsia" w:ascii="宋体" w:hAnsi="宋体" w:eastAsia="宋体" w:cs="宋体"/>
                      <w:i w:val="0"/>
                      <w:iCs w:val="0"/>
                      <w:color w:val="000000"/>
                      <w:kern w:val="0"/>
                      <w:sz w:val="20"/>
                      <w:szCs w:val="20"/>
                      <w:u w:val="none"/>
                      <w:lang w:val="en-US" w:eastAsia="zh-CN" w:bidi="ar"/>
                    </w:rPr>
                    <w:t>樘</w:t>
                  </w:r>
                </w:p>
              </w:tc>
              <w:tc>
                <w:tcPr>
                  <w:tcW w:w="10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cs="宋体"/>
                      <w:color w:val="auto"/>
                      <w:sz w:val="20"/>
                      <w:szCs w:val="20"/>
                      <w:highlight w:val="none"/>
                      <w:lang w:bidi="ar"/>
                    </w:rPr>
                  </w:pPr>
                  <w:r>
                    <w:rPr>
                      <w:rFonts w:hint="eastAsia" w:ascii="宋体" w:hAnsi="宋体" w:eastAsia="宋体" w:cs="宋体"/>
                      <w:i w:val="0"/>
                      <w:iCs w:val="0"/>
                      <w:color w:val="000000"/>
                      <w:kern w:val="0"/>
                      <w:sz w:val="20"/>
                      <w:szCs w:val="20"/>
                      <w:u w:val="none"/>
                      <w:lang w:val="en-US" w:eastAsia="zh-CN" w:bidi="ar"/>
                    </w:rPr>
                    <w:t xml:space="preserve">2.00 </w:t>
                  </w:r>
                </w:p>
              </w:tc>
              <w:tc>
                <w:tcPr>
                  <w:tcW w:w="6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790" w:hRule="atLeast"/>
                <w:jc w:val="center"/>
              </w:trPr>
              <w:tc>
                <w:tcPr>
                  <w:tcW w:w="4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Arial Narrow" w:hAnsi="Arial Narrow" w:eastAsia="Arial Narrow" w:cs="Arial Narrow"/>
                      <w:color w:val="auto"/>
                      <w:sz w:val="20"/>
                      <w:szCs w:val="20"/>
                      <w:highlight w:val="none"/>
                      <w:lang w:bidi="ar"/>
                    </w:rPr>
                  </w:pPr>
                  <w:r>
                    <w:rPr>
                      <w:rFonts w:hint="default" w:ascii="Arial Narrow" w:hAnsi="Arial Narrow" w:eastAsia="Arial Narrow" w:cs="Arial Narrow"/>
                      <w:i w:val="0"/>
                      <w:iCs w:val="0"/>
                      <w:color w:val="000000"/>
                      <w:kern w:val="0"/>
                      <w:sz w:val="20"/>
                      <w:szCs w:val="20"/>
                      <w:u w:val="none"/>
                      <w:lang w:val="en-US" w:eastAsia="zh-CN" w:bidi="ar"/>
                    </w:rPr>
                    <w:t>30</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cs="宋体"/>
                      <w:color w:val="auto"/>
                      <w:sz w:val="20"/>
                      <w:szCs w:val="20"/>
                      <w:highlight w:val="none"/>
                      <w:lang w:bidi="ar"/>
                    </w:rPr>
                  </w:pPr>
                  <w:r>
                    <w:rPr>
                      <w:rFonts w:hint="eastAsia" w:ascii="宋体" w:hAnsi="宋体" w:eastAsia="宋体" w:cs="宋体"/>
                      <w:i w:val="0"/>
                      <w:iCs w:val="0"/>
                      <w:color w:val="000000"/>
                      <w:kern w:val="0"/>
                      <w:sz w:val="20"/>
                      <w:szCs w:val="20"/>
                      <w:u w:val="none"/>
                      <w:lang w:val="en-US" w:eastAsia="zh-CN" w:bidi="ar"/>
                    </w:rPr>
                    <w:t>防火门</w:t>
                  </w:r>
                </w:p>
              </w:tc>
              <w:tc>
                <w:tcPr>
                  <w:tcW w:w="435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cs="宋体"/>
                      <w:color w:val="auto"/>
                      <w:sz w:val="20"/>
                      <w:szCs w:val="20"/>
                      <w:highlight w:val="none"/>
                      <w:lang w:bidi="ar"/>
                    </w:rPr>
                  </w:pPr>
                  <w:r>
                    <w:rPr>
                      <w:rFonts w:hint="eastAsia" w:ascii="宋体" w:hAnsi="宋体" w:eastAsia="宋体" w:cs="宋体"/>
                      <w:i w:val="0"/>
                      <w:iCs w:val="0"/>
                      <w:color w:val="000000"/>
                      <w:kern w:val="0"/>
                      <w:sz w:val="20"/>
                      <w:szCs w:val="20"/>
                      <w:u w:val="none"/>
                      <w:lang w:val="en-US" w:eastAsia="zh-CN" w:bidi="ar"/>
                    </w:rPr>
                    <w:t>1.名称：防火门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2.代号：FM乙1324</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3.规格：1300*2400双开</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4.安装门框安装门框、门扇、校正、安装锚固件、刷防腐油等要求详见招标文件</w:t>
                  </w:r>
                </w:p>
              </w:tc>
              <w:tc>
                <w:tcPr>
                  <w:tcW w:w="107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color w:val="auto"/>
                      <w:sz w:val="20"/>
                      <w:szCs w:val="20"/>
                      <w:highlight w:val="none"/>
                      <w:lang w:val="en-US" w:eastAsia="zh-CN" w:bidi="ar"/>
                    </w:rPr>
                  </w:pPr>
                  <w:r>
                    <w:rPr>
                      <w:rFonts w:hint="eastAsia" w:ascii="宋体" w:hAnsi="宋体" w:cs="宋体"/>
                      <w:color w:val="auto"/>
                      <w:sz w:val="20"/>
                      <w:szCs w:val="20"/>
                      <w:highlight w:val="none"/>
                      <w:lang w:val="en-US" w:eastAsia="zh-CN" w:bidi="ar"/>
                    </w:rPr>
                    <w:t>/</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cs="宋体"/>
                      <w:color w:val="auto"/>
                      <w:sz w:val="20"/>
                      <w:szCs w:val="20"/>
                      <w:highlight w:val="none"/>
                      <w:lang w:bidi="ar"/>
                    </w:rPr>
                  </w:pPr>
                  <w:r>
                    <w:rPr>
                      <w:rFonts w:hint="eastAsia" w:ascii="宋体" w:hAnsi="宋体" w:eastAsia="宋体" w:cs="宋体"/>
                      <w:i w:val="0"/>
                      <w:iCs w:val="0"/>
                      <w:color w:val="000000"/>
                      <w:kern w:val="0"/>
                      <w:sz w:val="20"/>
                      <w:szCs w:val="20"/>
                      <w:u w:val="none"/>
                      <w:lang w:val="en-US" w:eastAsia="zh-CN" w:bidi="ar"/>
                    </w:rPr>
                    <w:t>樘</w:t>
                  </w:r>
                </w:p>
              </w:tc>
              <w:tc>
                <w:tcPr>
                  <w:tcW w:w="10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cs="宋体"/>
                      <w:color w:val="auto"/>
                      <w:sz w:val="20"/>
                      <w:szCs w:val="20"/>
                      <w:highlight w:val="none"/>
                      <w:lang w:bidi="ar"/>
                    </w:rPr>
                  </w:pPr>
                  <w:r>
                    <w:rPr>
                      <w:rFonts w:hint="eastAsia" w:ascii="宋体" w:hAnsi="宋体" w:eastAsia="宋体" w:cs="宋体"/>
                      <w:i w:val="0"/>
                      <w:iCs w:val="0"/>
                      <w:color w:val="000000"/>
                      <w:kern w:val="0"/>
                      <w:sz w:val="20"/>
                      <w:szCs w:val="20"/>
                      <w:u w:val="none"/>
                      <w:lang w:val="en-US" w:eastAsia="zh-CN" w:bidi="ar"/>
                    </w:rPr>
                    <w:t xml:space="preserve">5.00 </w:t>
                  </w:r>
                </w:p>
              </w:tc>
              <w:tc>
                <w:tcPr>
                  <w:tcW w:w="6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540" w:hRule="atLeast"/>
                <w:jc w:val="center"/>
              </w:trPr>
              <w:tc>
                <w:tcPr>
                  <w:tcW w:w="4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bCs/>
                      <w:color w:val="auto"/>
                      <w:sz w:val="20"/>
                      <w:szCs w:val="20"/>
                      <w:highlight w:val="none"/>
                    </w:rPr>
                  </w:pPr>
                  <w:r>
                    <w:rPr>
                      <w:rFonts w:hint="eastAsia" w:ascii="宋体" w:hAnsi="宋体" w:cs="宋体"/>
                      <w:b/>
                      <w:bCs/>
                      <w:color w:val="auto"/>
                      <w:sz w:val="20"/>
                      <w:szCs w:val="20"/>
                      <w:highlight w:val="none"/>
                      <w:lang w:bidi="ar"/>
                    </w:rPr>
                    <w:t>五</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b/>
                      <w:bCs/>
                      <w:color w:val="auto"/>
                      <w:sz w:val="20"/>
                      <w:szCs w:val="20"/>
                      <w:highlight w:val="none"/>
                    </w:rPr>
                  </w:pPr>
                  <w:r>
                    <w:rPr>
                      <w:rFonts w:hint="eastAsia" w:ascii="宋体" w:hAnsi="宋体" w:cs="宋体"/>
                      <w:b/>
                      <w:bCs/>
                      <w:color w:val="auto"/>
                      <w:sz w:val="20"/>
                      <w:szCs w:val="20"/>
                      <w:highlight w:val="none"/>
                      <w:lang w:bidi="ar"/>
                    </w:rPr>
                    <w:t xml:space="preserve"> 其它 </w:t>
                  </w:r>
                </w:p>
              </w:tc>
              <w:tc>
                <w:tcPr>
                  <w:tcW w:w="435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Narrow" w:hAnsi="Arial Narrow" w:eastAsia="Arial Narrow" w:cs="Arial Narrow"/>
                      <w:color w:val="auto"/>
                      <w:sz w:val="20"/>
                      <w:szCs w:val="20"/>
                      <w:highlight w:val="none"/>
                    </w:rPr>
                  </w:pPr>
                </w:p>
              </w:tc>
              <w:tc>
                <w:tcPr>
                  <w:tcW w:w="107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 w:val="20"/>
                      <w:szCs w:val="20"/>
                      <w:highlight w:val="none"/>
                    </w:rPr>
                  </w:pP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Narrow" w:hAnsi="Arial Narrow" w:eastAsia="Arial Narrow" w:cs="Arial Narrow"/>
                      <w:color w:val="auto"/>
                      <w:sz w:val="20"/>
                      <w:szCs w:val="20"/>
                      <w:highlight w:val="none"/>
                    </w:rPr>
                  </w:pPr>
                </w:p>
              </w:tc>
              <w:tc>
                <w:tcPr>
                  <w:tcW w:w="10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auto"/>
                      <w:sz w:val="20"/>
                      <w:szCs w:val="20"/>
                      <w:highlight w:val="none"/>
                    </w:rPr>
                  </w:pPr>
                </w:p>
              </w:tc>
              <w:tc>
                <w:tcPr>
                  <w:tcW w:w="6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041" w:hRule="atLeast"/>
                <w:jc w:val="center"/>
              </w:trPr>
              <w:tc>
                <w:tcPr>
                  <w:tcW w:w="4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color w:val="auto"/>
                      <w:sz w:val="20"/>
                      <w:szCs w:val="20"/>
                      <w:highlight w:val="none"/>
                    </w:rPr>
                  </w:pPr>
                  <w:r>
                    <w:rPr>
                      <w:rFonts w:ascii="Arial Narrow" w:hAnsi="Arial Narrow" w:eastAsia="Arial Narrow" w:cs="Arial Narrow"/>
                      <w:color w:val="auto"/>
                      <w:sz w:val="20"/>
                      <w:szCs w:val="20"/>
                      <w:highlight w:val="none"/>
                      <w:lang w:bidi="ar"/>
                    </w:rPr>
                    <w:t>1</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窗台板</w:t>
                  </w:r>
                </w:p>
              </w:tc>
              <w:tc>
                <w:tcPr>
                  <w:tcW w:w="435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1.名称：窗台板</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2.规格：1.2mm电解钢板饰面，木芯板打底。</w:t>
                  </w:r>
                </w:p>
              </w:tc>
              <w:tc>
                <w:tcPr>
                  <w:tcW w:w="107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color w:val="auto"/>
                      <w:sz w:val="20"/>
                      <w:szCs w:val="20"/>
                      <w:highlight w:val="none"/>
                    </w:rPr>
                  </w:pPr>
                  <w:r>
                    <w:rPr>
                      <w:rFonts w:ascii="Arial Narrow" w:hAnsi="Arial Narrow" w:eastAsia="Arial Narrow" w:cs="Arial Narrow"/>
                      <w:color w:val="auto"/>
                      <w:sz w:val="20"/>
                      <w:szCs w:val="20"/>
                      <w:highlight w:val="none"/>
                      <w:lang w:bidi="ar"/>
                    </w:rPr>
                    <w:t>m2</w:t>
                  </w:r>
                </w:p>
              </w:tc>
              <w:tc>
                <w:tcPr>
                  <w:tcW w:w="10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ascii="宋体" w:hAnsi="宋体" w:cs="宋体"/>
                      <w:color w:val="auto"/>
                      <w:sz w:val="20"/>
                      <w:szCs w:val="20"/>
                      <w:highlight w:val="none"/>
                    </w:rPr>
                  </w:pPr>
                  <w:r>
                    <w:rPr>
                      <w:rFonts w:hint="eastAsia" w:ascii="宋体" w:hAnsi="宋体" w:eastAsia="宋体" w:cs="宋体"/>
                      <w:i w:val="0"/>
                      <w:iCs w:val="0"/>
                      <w:color w:val="000000"/>
                      <w:kern w:val="0"/>
                      <w:sz w:val="20"/>
                      <w:szCs w:val="20"/>
                      <w:u w:val="none"/>
                      <w:lang w:val="en-US" w:eastAsia="zh-CN" w:bidi="ar"/>
                    </w:rPr>
                    <w:t xml:space="preserve">35.54 </w:t>
                  </w:r>
                </w:p>
              </w:tc>
              <w:tc>
                <w:tcPr>
                  <w:tcW w:w="6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401" w:hRule="atLeast"/>
                <w:jc w:val="center"/>
              </w:trPr>
              <w:tc>
                <w:tcPr>
                  <w:tcW w:w="4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color w:val="auto"/>
                      <w:sz w:val="20"/>
                      <w:szCs w:val="20"/>
                      <w:highlight w:val="none"/>
                    </w:rPr>
                  </w:pPr>
                  <w:r>
                    <w:rPr>
                      <w:rFonts w:ascii="Arial Narrow" w:hAnsi="Arial Narrow" w:eastAsia="Arial Narrow" w:cs="Arial Narrow"/>
                      <w:color w:val="auto"/>
                      <w:sz w:val="20"/>
                      <w:szCs w:val="20"/>
                      <w:highlight w:val="none"/>
                      <w:lang w:bidi="ar"/>
                    </w:rPr>
                    <w:t>2</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窗帘盒</w:t>
                  </w:r>
                </w:p>
              </w:tc>
              <w:tc>
                <w:tcPr>
                  <w:tcW w:w="435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1.名称：窗帘盒</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2.规格：18mm木芯板基层，木芯板刷防火涂料，洁菌板饰面</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3.工作内容：定位、划线、选料、木龙骨制作安装、刷防腐油,下料、裁板、钉贴板、修边等。</w:t>
                  </w:r>
                </w:p>
              </w:tc>
              <w:tc>
                <w:tcPr>
                  <w:tcW w:w="107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color w:val="auto"/>
                      <w:sz w:val="20"/>
                      <w:szCs w:val="20"/>
                      <w:highlight w:val="none"/>
                    </w:rPr>
                  </w:pPr>
                  <w:r>
                    <w:rPr>
                      <w:rFonts w:ascii="Arial Narrow" w:hAnsi="Arial Narrow" w:eastAsia="Arial Narrow" w:cs="Arial Narrow"/>
                      <w:color w:val="auto"/>
                      <w:sz w:val="20"/>
                      <w:szCs w:val="20"/>
                      <w:highlight w:val="none"/>
                      <w:lang w:bidi="ar"/>
                    </w:rPr>
                    <w:t>m</w:t>
                  </w:r>
                </w:p>
              </w:tc>
              <w:tc>
                <w:tcPr>
                  <w:tcW w:w="10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ascii="宋体" w:hAnsi="宋体" w:cs="宋体"/>
                      <w:color w:val="auto"/>
                      <w:sz w:val="20"/>
                      <w:szCs w:val="20"/>
                      <w:highlight w:val="none"/>
                    </w:rPr>
                  </w:pPr>
                  <w:r>
                    <w:rPr>
                      <w:rFonts w:hint="eastAsia" w:ascii="宋体" w:hAnsi="宋体" w:eastAsia="宋体" w:cs="宋体"/>
                      <w:i w:val="0"/>
                      <w:iCs w:val="0"/>
                      <w:color w:val="000000"/>
                      <w:kern w:val="0"/>
                      <w:sz w:val="20"/>
                      <w:szCs w:val="20"/>
                      <w:u w:val="none"/>
                      <w:lang w:val="en-US" w:eastAsia="zh-CN" w:bidi="ar"/>
                    </w:rPr>
                    <w:t xml:space="preserve">100.80 </w:t>
                  </w:r>
                </w:p>
              </w:tc>
              <w:tc>
                <w:tcPr>
                  <w:tcW w:w="6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840" w:hRule="atLeast"/>
                <w:jc w:val="center"/>
              </w:trPr>
              <w:tc>
                <w:tcPr>
                  <w:tcW w:w="4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color w:val="auto"/>
                      <w:sz w:val="20"/>
                      <w:szCs w:val="20"/>
                      <w:highlight w:val="none"/>
                    </w:rPr>
                  </w:pPr>
                  <w:r>
                    <w:rPr>
                      <w:rFonts w:ascii="Arial Narrow" w:hAnsi="Arial Narrow" w:eastAsia="Arial Narrow" w:cs="Arial Narrow"/>
                      <w:color w:val="auto"/>
                      <w:sz w:val="20"/>
                      <w:szCs w:val="20"/>
                      <w:highlight w:val="none"/>
                      <w:lang w:bidi="ar"/>
                    </w:rPr>
                    <w:t>3</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墙体阳角</w:t>
                  </w:r>
                </w:p>
              </w:tc>
              <w:tc>
                <w:tcPr>
                  <w:tcW w:w="435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1.名称：墙体阳角</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2.规格：90°不锈钢折角</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3.工作内容：定位、划线、下料、刷胶、安装等。</w:t>
                  </w:r>
                </w:p>
              </w:tc>
              <w:tc>
                <w:tcPr>
                  <w:tcW w:w="107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m</w:t>
                  </w:r>
                </w:p>
              </w:tc>
              <w:tc>
                <w:tcPr>
                  <w:tcW w:w="10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ascii="宋体" w:hAnsi="宋体" w:cs="宋体"/>
                      <w:color w:val="auto"/>
                      <w:sz w:val="20"/>
                      <w:szCs w:val="20"/>
                      <w:highlight w:val="none"/>
                    </w:rPr>
                  </w:pPr>
                  <w:r>
                    <w:rPr>
                      <w:rFonts w:hint="eastAsia" w:ascii="宋体" w:hAnsi="宋体" w:eastAsia="宋体" w:cs="宋体"/>
                      <w:i w:val="0"/>
                      <w:iCs w:val="0"/>
                      <w:color w:val="000000"/>
                      <w:kern w:val="0"/>
                      <w:sz w:val="20"/>
                      <w:szCs w:val="20"/>
                      <w:u w:val="none"/>
                      <w:lang w:val="en-US" w:eastAsia="zh-CN" w:bidi="ar"/>
                    </w:rPr>
                    <w:t xml:space="preserve">357.40 </w:t>
                  </w:r>
                </w:p>
              </w:tc>
              <w:tc>
                <w:tcPr>
                  <w:tcW w:w="6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080" w:hRule="atLeast"/>
                <w:jc w:val="center"/>
              </w:trPr>
              <w:tc>
                <w:tcPr>
                  <w:tcW w:w="4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color w:val="auto"/>
                      <w:sz w:val="20"/>
                      <w:szCs w:val="20"/>
                      <w:highlight w:val="none"/>
                    </w:rPr>
                  </w:pPr>
                  <w:r>
                    <w:rPr>
                      <w:rFonts w:ascii="Arial Narrow" w:hAnsi="Arial Narrow" w:eastAsia="Arial Narrow" w:cs="Arial Narrow"/>
                      <w:color w:val="auto"/>
                      <w:sz w:val="20"/>
                      <w:szCs w:val="20"/>
                      <w:highlight w:val="none"/>
                      <w:lang w:bidi="ar"/>
                    </w:rPr>
                    <w:t>4</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彩钢板金属收边条</w:t>
                  </w:r>
                </w:p>
              </w:tc>
              <w:tc>
                <w:tcPr>
                  <w:tcW w:w="435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1.名称：彩钢板金属收边条</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2.规格：R50</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3.工作内容：定位、划线、下料、刷胶、安装等。</w:t>
                  </w:r>
                </w:p>
              </w:tc>
              <w:tc>
                <w:tcPr>
                  <w:tcW w:w="107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m</w:t>
                  </w:r>
                </w:p>
              </w:tc>
              <w:tc>
                <w:tcPr>
                  <w:tcW w:w="10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ascii="宋体" w:hAnsi="宋体" w:cs="宋体"/>
                      <w:color w:val="auto"/>
                      <w:sz w:val="20"/>
                      <w:szCs w:val="20"/>
                      <w:highlight w:val="none"/>
                    </w:rPr>
                  </w:pPr>
                  <w:r>
                    <w:rPr>
                      <w:rFonts w:hint="eastAsia" w:ascii="宋体" w:hAnsi="宋体" w:eastAsia="宋体" w:cs="宋体"/>
                      <w:i w:val="0"/>
                      <w:iCs w:val="0"/>
                      <w:color w:val="000000"/>
                      <w:kern w:val="0"/>
                      <w:sz w:val="20"/>
                      <w:szCs w:val="20"/>
                      <w:u w:val="none"/>
                      <w:lang w:val="en-US" w:eastAsia="zh-CN" w:bidi="ar"/>
                    </w:rPr>
                    <w:t xml:space="preserve">114.40 </w:t>
                  </w:r>
                </w:p>
              </w:tc>
              <w:tc>
                <w:tcPr>
                  <w:tcW w:w="6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380" w:hRule="atLeast"/>
                <w:jc w:val="center"/>
              </w:trPr>
              <w:tc>
                <w:tcPr>
                  <w:tcW w:w="4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color w:val="auto"/>
                      <w:sz w:val="20"/>
                      <w:szCs w:val="20"/>
                      <w:highlight w:val="none"/>
                    </w:rPr>
                  </w:pPr>
                  <w:r>
                    <w:rPr>
                      <w:rFonts w:ascii="Arial Narrow" w:hAnsi="Arial Narrow" w:eastAsia="Arial Narrow" w:cs="Arial Narrow"/>
                      <w:color w:val="auto"/>
                      <w:sz w:val="20"/>
                      <w:szCs w:val="20"/>
                      <w:highlight w:val="none"/>
                      <w:lang w:bidi="ar"/>
                    </w:rPr>
                    <w:t>5</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不锈钢防撞带</w:t>
                  </w:r>
                </w:p>
              </w:tc>
              <w:tc>
                <w:tcPr>
                  <w:tcW w:w="435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1.名称：不锈钢防撞带</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2.规格：200mm高1.2mm厚304不锈钢防撞带</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3.工作内容：定位、划线、下料、刷胶、安装等。</w:t>
                  </w:r>
                </w:p>
              </w:tc>
              <w:tc>
                <w:tcPr>
                  <w:tcW w:w="107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color w:val="auto"/>
                      <w:sz w:val="20"/>
                      <w:szCs w:val="20"/>
                      <w:highlight w:val="none"/>
                    </w:rPr>
                  </w:pPr>
                  <w:r>
                    <w:rPr>
                      <w:rFonts w:ascii="Arial Narrow" w:hAnsi="Arial Narrow" w:eastAsia="Arial Narrow" w:cs="Arial Narrow"/>
                      <w:color w:val="auto"/>
                      <w:sz w:val="20"/>
                      <w:szCs w:val="20"/>
                      <w:highlight w:val="none"/>
                      <w:lang w:bidi="ar"/>
                    </w:rPr>
                    <w:t>m</w:t>
                  </w:r>
                </w:p>
              </w:tc>
              <w:tc>
                <w:tcPr>
                  <w:tcW w:w="10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ascii="宋体" w:hAnsi="宋体" w:cs="宋体"/>
                      <w:color w:val="auto"/>
                      <w:sz w:val="20"/>
                      <w:szCs w:val="20"/>
                      <w:highlight w:val="none"/>
                    </w:rPr>
                  </w:pPr>
                  <w:r>
                    <w:rPr>
                      <w:rFonts w:hint="eastAsia" w:ascii="宋体" w:hAnsi="宋体" w:eastAsia="宋体" w:cs="宋体"/>
                      <w:i w:val="0"/>
                      <w:iCs w:val="0"/>
                      <w:color w:val="000000"/>
                      <w:kern w:val="0"/>
                      <w:sz w:val="20"/>
                      <w:szCs w:val="20"/>
                      <w:u w:val="none"/>
                      <w:lang w:val="en-US" w:eastAsia="zh-CN" w:bidi="ar"/>
                    </w:rPr>
                    <w:t xml:space="preserve">528.50 </w:t>
                  </w:r>
                </w:p>
              </w:tc>
              <w:tc>
                <w:tcPr>
                  <w:tcW w:w="6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720" w:hRule="atLeast"/>
                <w:jc w:val="center"/>
              </w:trPr>
              <w:tc>
                <w:tcPr>
                  <w:tcW w:w="4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color w:val="auto"/>
                      <w:sz w:val="20"/>
                      <w:szCs w:val="20"/>
                      <w:highlight w:val="none"/>
                    </w:rPr>
                  </w:pPr>
                  <w:r>
                    <w:rPr>
                      <w:rFonts w:ascii="Arial Narrow" w:hAnsi="Arial Narrow" w:eastAsia="Arial Narrow" w:cs="Arial Narrow"/>
                      <w:color w:val="auto"/>
                      <w:sz w:val="20"/>
                      <w:szCs w:val="20"/>
                      <w:highlight w:val="none"/>
                      <w:lang w:bidi="ar"/>
                    </w:rPr>
                    <w:t>6</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吊顶反支撑</w:t>
                  </w:r>
                </w:p>
              </w:tc>
              <w:tc>
                <w:tcPr>
                  <w:tcW w:w="435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螺纹杆件φ8</w:t>
                  </w:r>
                </w:p>
              </w:tc>
              <w:tc>
                <w:tcPr>
                  <w:tcW w:w="107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color w:val="auto"/>
                      <w:sz w:val="20"/>
                      <w:szCs w:val="20"/>
                      <w:highlight w:val="none"/>
                    </w:rPr>
                  </w:pPr>
                  <w:r>
                    <w:rPr>
                      <w:rFonts w:ascii="Arial Narrow" w:hAnsi="Arial Narrow" w:eastAsia="Arial Narrow" w:cs="Arial Narrow"/>
                      <w:color w:val="auto"/>
                      <w:sz w:val="20"/>
                      <w:szCs w:val="20"/>
                      <w:highlight w:val="none"/>
                      <w:lang w:bidi="ar"/>
                    </w:rPr>
                    <w:t>T</w:t>
                  </w:r>
                </w:p>
              </w:tc>
              <w:tc>
                <w:tcPr>
                  <w:tcW w:w="10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ascii="宋体" w:hAnsi="宋体" w:cs="宋体"/>
                      <w:color w:val="auto"/>
                      <w:sz w:val="20"/>
                      <w:szCs w:val="20"/>
                      <w:highlight w:val="none"/>
                    </w:rPr>
                  </w:pPr>
                  <w:r>
                    <w:rPr>
                      <w:rFonts w:hint="eastAsia" w:ascii="宋体" w:hAnsi="宋体" w:eastAsia="宋体" w:cs="宋体"/>
                      <w:i w:val="0"/>
                      <w:iCs w:val="0"/>
                      <w:color w:val="000000"/>
                      <w:kern w:val="0"/>
                      <w:sz w:val="20"/>
                      <w:szCs w:val="20"/>
                      <w:u w:val="none"/>
                      <w:lang w:val="en-US" w:eastAsia="zh-CN" w:bidi="ar"/>
                    </w:rPr>
                    <w:t xml:space="preserve">8.31 </w:t>
                  </w:r>
                </w:p>
              </w:tc>
              <w:tc>
                <w:tcPr>
                  <w:tcW w:w="6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561" w:hRule="atLeast"/>
                <w:jc w:val="center"/>
              </w:trPr>
              <w:tc>
                <w:tcPr>
                  <w:tcW w:w="4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color w:val="auto"/>
                      <w:sz w:val="20"/>
                      <w:szCs w:val="20"/>
                      <w:highlight w:val="none"/>
                    </w:rPr>
                  </w:pPr>
                  <w:r>
                    <w:rPr>
                      <w:rFonts w:ascii="Arial Narrow" w:hAnsi="Arial Narrow" w:eastAsia="Arial Narrow" w:cs="Arial Narrow"/>
                      <w:color w:val="auto"/>
                      <w:sz w:val="20"/>
                      <w:szCs w:val="20"/>
                      <w:highlight w:val="none"/>
                      <w:lang w:bidi="ar"/>
                    </w:rPr>
                    <w:t>7</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金属压条</w:t>
                  </w:r>
                </w:p>
              </w:tc>
              <w:tc>
                <w:tcPr>
                  <w:tcW w:w="435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成品踢脚线压条</w:t>
                  </w:r>
                </w:p>
              </w:tc>
              <w:tc>
                <w:tcPr>
                  <w:tcW w:w="107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color w:val="auto"/>
                      <w:sz w:val="20"/>
                      <w:szCs w:val="20"/>
                      <w:highlight w:val="none"/>
                    </w:rPr>
                  </w:pPr>
                  <w:r>
                    <w:rPr>
                      <w:rFonts w:ascii="Arial Narrow" w:hAnsi="Arial Narrow" w:eastAsia="Arial Narrow" w:cs="Arial Narrow"/>
                      <w:color w:val="auto"/>
                      <w:sz w:val="20"/>
                      <w:szCs w:val="20"/>
                      <w:highlight w:val="none"/>
                      <w:lang w:bidi="ar"/>
                    </w:rPr>
                    <w:t>m</w:t>
                  </w:r>
                </w:p>
              </w:tc>
              <w:tc>
                <w:tcPr>
                  <w:tcW w:w="10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ascii="宋体" w:hAnsi="宋体" w:cs="宋体"/>
                      <w:color w:val="auto"/>
                      <w:sz w:val="20"/>
                      <w:szCs w:val="20"/>
                      <w:highlight w:val="none"/>
                    </w:rPr>
                  </w:pPr>
                  <w:r>
                    <w:rPr>
                      <w:rFonts w:hint="eastAsia" w:ascii="宋体" w:hAnsi="宋体" w:eastAsia="宋体" w:cs="宋体"/>
                      <w:i w:val="0"/>
                      <w:iCs w:val="0"/>
                      <w:color w:val="000000"/>
                      <w:kern w:val="0"/>
                      <w:sz w:val="20"/>
                      <w:szCs w:val="20"/>
                      <w:u w:val="none"/>
                      <w:lang w:val="en-US" w:eastAsia="zh-CN" w:bidi="ar"/>
                    </w:rPr>
                    <w:t xml:space="preserve">2733.03 </w:t>
                  </w:r>
                </w:p>
              </w:tc>
              <w:tc>
                <w:tcPr>
                  <w:tcW w:w="6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600" w:hRule="atLeast"/>
                <w:jc w:val="center"/>
              </w:trPr>
              <w:tc>
                <w:tcPr>
                  <w:tcW w:w="4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bCs/>
                      <w:color w:val="auto"/>
                      <w:sz w:val="20"/>
                      <w:szCs w:val="20"/>
                      <w:highlight w:val="none"/>
                    </w:rPr>
                  </w:pPr>
                  <w:r>
                    <w:rPr>
                      <w:rFonts w:hint="eastAsia" w:ascii="宋体" w:hAnsi="宋体" w:cs="宋体"/>
                      <w:b/>
                      <w:bCs/>
                      <w:color w:val="auto"/>
                      <w:sz w:val="20"/>
                      <w:szCs w:val="20"/>
                      <w:highlight w:val="none"/>
                      <w:lang w:bidi="ar"/>
                    </w:rPr>
                    <w:t>六</w:t>
                  </w:r>
                </w:p>
              </w:tc>
              <w:tc>
                <w:tcPr>
                  <w:tcW w:w="514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Narrow" w:hAnsi="Arial Narrow" w:eastAsia="Arial Narrow" w:cs="Arial Narrow"/>
                      <w:color w:val="auto"/>
                      <w:sz w:val="20"/>
                      <w:szCs w:val="20"/>
                      <w:highlight w:val="none"/>
                    </w:rPr>
                  </w:pPr>
                  <w:r>
                    <w:rPr>
                      <w:rFonts w:hint="eastAsia" w:ascii="宋体" w:hAnsi="宋体" w:cs="宋体"/>
                      <w:b/>
                      <w:bCs/>
                      <w:color w:val="auto"/>
                      <w:sz w:val="20"/>
                      <w:szCs w:val="20"/>
                      <w:highlight w:val="none"/>
                      <w:lang w:bidi="ar"/>
                    </w:rPr>
                    <w:t xml:space="preserve"> 手术室基本器具 </w:t>
                  </w:r>
                </w:p>
              </w:tc>
              <w:tc>
                <w:tcPr>
                  <w:tcW w:w="107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 w:val="20"/>
                      <w:szCs w:val="20"/>
                      <w:highlight w:val="none"/>
                    </w:rPr>
                  </w:pP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Narrow" w:hAnsi="Arial Narrow" w:eastAsia="Arial Narrow" w:cs="Arial Narrow"/>
                      <w:color w:val="auto"/>
                      <w:sz w:val="20"/>
                      <w:szCs w:val="20"/>
                      <w:highlight w:val="none"/>
                    </w:rPr>
                  </w:pPr>
                </w:p>
              </w:tc>
              <w:tc>
                <w:tcPr>
                  <w:tcW w:w="10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auto"/>
                      <w:sz w:val="20"/>
                      <w:szCs w:val="20"/>
                      <w:highlight w:val="none"/>
                    </w:rPr>
                  </w:pPr>
                </w:p>
              </w:tc>
              <w:tc>
                <w:tcPr>
                  <w:tcW w:w="6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2880" w:hRule="atLeast"/>
                <w:jc w:val="center"/>
              </w:trPr>
              <w:tc>
                <w:tcPr>
                  <w:tcW w:w="4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color w:val="auto"/>
                      <w:sz w:val="20"/>
                      <w:szCs w:val="20"/>
                      <w:highlight w:val="none"/>
                    </w:rPr>
                  </w:pPr>
                  <w:r>
                    <w:rPr>
                      <w:rFonts w:ascii="Arial Narrow" w:hAnsi="Arial Narrow" w:eastAsia="Arial Narrow" w:cs="Arial Narrow"/>
                      <w:color w:val="auto"/>
                      <w:sz w:val="20"/>
                      <w:szCs w:val="20"/>
                      <w:highlight w:val="none"/>
                      <w:lang w:bidi="ar"/>
                    </w:rPr>
                    <w:t>1</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医用不锈钢药品柜</w:t>
                  </w:r>
                </w:p>
              </w:tc>
              <w:tc>
                <w:tcPr>
                  <w:tcW w:w="435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1.名称：医用不锈钢药品柜</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2.规格：1、门板喷涂,1200*1700*400mm,上部玻璃平开门,下部不锈钢平开门,中间两抽屉。</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2、嵌入式安装,翻边20mm。</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3、上部门:4mm厚钢化玻璃1.2厚304不锈钢包边外开门,带锁</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4、下部门:1.0厚304双层不锈钢外开门,带锁</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5、外框:1.2厚304不锈钢拉丝板制</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6、内本体:1.0厚201不锈钢制镜面板制,内置三层8MM钢</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化玻璃托架,上下可调,。</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7、中间两抽屉(采用阻尼缓冲导轨),带锁。</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3.支架：角钢支架</w:t>
                  </w:r>
                </w:p>
              </w:tc>
              <w:tc>
                <w:tcPr>
                  <w:tcW w:w="107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铭铉、智迪锐、浩东</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10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21.00 </w:t>
                  </w:r>
                </w:p>
              </w:tc>
              <w:tc>
                <w:tcPr>
                  <w:tcW w:w="6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2520" w:hRule="atLeast"/>
                <w:jc w:val="center"/>
              </w:trPr>
              <w:tc>
                <w:tcPr>
                  <w:tcW w:w="4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color w:val="auto"/>
                      <w:sz w:val="20"/>
                      <w:szCs w:val="20"/>
                      <w:highlight w:val="none"/>
                    </w:rPr>
                  </w:pPr>
                  <w:r>
                    <w:rPr>
                      <w:rFonts w:ascii="Arial Narrow" w:hAnsi="Arial Narrow" w:eastAsia="Arial Narrow" w:cs="Arial Narrow"/>
                      <w:color w:val="auto"/>
                      <w:sz w:val="20"/>
                      <w:szCs w:val="20"/>
                      <w:highlight w:val="none"/>
                      <w:lang w:bidi="ar"/>
                    </w:rPr>
                    <w:t>2</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医用不锈钢麻醉柜</w:t>
                  </w:r>
                </w:p>
              </w:tc>
              <w:tc>
                <w:tcPr>
                  <w:tcW w:w="435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1.名称：医用不锈钢麻醉柜</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2.规格：1、门板喷涂,1200*1700*400mm,上部玻璃平开门,下部不锈钢平开门。</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2、嵌入式安装,翻边20mm。</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3、上部门:4mm厚钢化玻璃1.2厚304不锈钢包边外开门,带锁</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4、下部门:1.0厚304双层不锈钢外开门,带锁</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5、外框:1.2厚304不锈钢拉丝板制</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6、内本体:1.0厚201不锈钢制镜面板制,内置三层</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8MM钢化玻璃托架,上下可调。</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3.支架：角钢支架</w:t>
                  </w:r>
                </w:p>
              </w:tc>
              <w:tc>
                <w:tcPr>
                  <w:tcW w:w="107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铭铉、智迪锐、浩东</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10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21.00 </w:t>
                  </w:r>
                </w:p>
              </w:tc>
              <w:tc>
                <w:tcPr>
                  <w:tcW w:w="6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2640" w:hRule="atLeast"/>
                <w:jc w:val="center"/>
              </w:trPr>
              <w:tc>
                <w:tcPr>
                  <w:tcW w:w="4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color w:val="auto"/>
                      <w:sz w:val="20"/>
                      <w:szCs w:val="20"/>
                      <w:highlight w:val="none"/>
                    </w:rPr>
                  </w:pPr>
                  <w:r>
                    <w:rPr>
                      <w:rFonts w:ascii="Arial Narrow" w:hAnsi="Arial Narrow" w:eastAsia="Arial Narrow" w:cs="Arial Narrow"/>
                      <w:color w:val="auto"/>
                      <w:sz w:val="20"/>
                      <w:szCs w:val="20"/>
                      <w:highlight w:val="none"/>
                      <w:lang w:bidi="ar"/>
                    </w:rPr>
                    <w:t>3</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医用不锈钢器械柜</w:t>
                  </w:r>
                </w:p>
              </w:tc>
              <w:tc>
                <w:tcPr>
                  <w:tcW w:w="435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1.名称：医用不锈钢器械柜</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2.规格：1、门板喷涂,1200*1700*400mm,上部玻璃平开门,下部不锈钢平开门。</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2、嵌入式安装,翻边20mm。</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3、上部门:4mm厚钢化玻璃1.2厚304不锈钢包边外开门,带锁</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4、下部门:1.0厚304双层不锈钢外开门,带锁</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5、外框:1.2厚304不锈钢拉丝板制</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6、内本体:1.0厚201不锈钢制镜面板制,内置三层</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8MM钢化玻璃托架,上下可调。</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3.支架：角钢支架</w:t>
                  </w:r>
                </w:p>
              </w:tc>
              <w:tc>
                <w:tcPr>
                  <w:tcW w:w="107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铭铉、智迪锐、浩东</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10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41.00 </w:t>
                  </w:r>
                </w:p>
              </w:tc>
              <w:tc>
                <w:tcPr>
                  <w:tcW w:w="6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680" w:hRule="atLeast"/>
                <w:jc w:val="center"/>
              </w:trPr>
              <w:tc>
                <w:tcPr>
                  <w:tcW w:w="4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color w:val="auto"/>
                      <w:sz w:val="20"/>
                      <w:szCs w:val="20"/>
                      <w:highlight w:val="none"/>
                    </w:rPr>
                  </w:pPr>
                  <w:r>
                    <w:rPr>
                      <w:rFonts w:ascii="Arial Narrow" w:hAnsi="Arial Narrow" w:eastAsia="Arial Narrow" w:cs="Arial Narrow"/>
                      <w:color w:val="auto"/>
                      <w:sz w:val="20"/>
                      <w:szCs w:val="20"/>
                      <w:highlight w:val="none"/>
                      <w:lang w:bidi="ar"/>
                    </w:rPr>
                    <w:t>4</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医用不锈钢导管柜</w:t>
                  </w:r>
                </w:p>
              </w:tc>
              <w:tc>
                <w:tcPr>
                  <w:tcW w:w="435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1.名称：医用不锈钢导管柜</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2.规格：1、表面喷涂,1200*1700*400mm,内本体1.0厚201不锈钢制镜面板制，配挂钩。</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2、嵌入式安装,翻边20mm。</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3、外框:1.2厚304不锈钢拉丝板制</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4、内本体:1.0厚201不锈钢制镜面板制</w:t>
                  </w:r>
                </w:p>
              </w:tc>
              <w:tc>
                <w:tcPr>
                  <w:tcW w:w="107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铭铉、智迪锐、浩东</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10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2.00 </w:t>
                  </w:r>
                </w:p>
              </w:tc>
              <w:tc>
                <w:tcPr>
                  <w:tcW w:w="6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3800" w:hRule="atLeast"/>
                <w:jc w:val="center"/>
              </w:trPr>
              <w:tc>
                <w:tcPr>
                  <w:tcW w:w="4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color w:val="auto"/>
                      <w:sz w:val="20"/>
                      <w:szCs w:val="20"/>
                      <w:highlight w:val="none"/>
                    </w:rPr>
                  </w:pPr>
                  <w:r>
                    <w:rPr>
                      <w:rFonts w:ascii="Arial Narrow" w:hAnsi="Arial Narrow" w:eastAsia="Arial Narrow" w:cs="Arial Narrow"/>
                      <w:color w:val="auto"/>
                      <w:sz w:val="20"/>
                      <w:szCs w:val="20"/>
                      <w:highlight w:val="none"/>
                      <w:lang w:bidi="ar"/>
                    </w:rPr>
                    <w:t>5</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医用四联观片灯</w:t>
                  </w:r>
                </w:p>
              </w:tc>
              <w:tc>
                <w:tcPr>
                  <w:tcW w:w="435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1.名称：医用四联观片灯</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2.规格：①光源类型:四联LED</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②材质及安装方式:1.2厚304不锈钢拉丝板制,嵌入安装</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③观察屏幕要求:亮度:≥3000(cd/m2)、色温≥6500K/可按照厂家推荐满足规上述参数即可,均匀度&gt;0.7、散射系数&gt;0.9</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④供电要求:通电10s内发光、无闪烁、无异响、无延迟现象</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⑤外形尺寸:1197*552*50mm,开孔尺寸:1200*555mm</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⑥显示区域范围尺寸:1072*422</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⑦调光方式及范围:按键调光 ,0-100</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⑦板材的材质:亚克力面板</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⑨安装方式:嵌入式,翻边20mm厚</w:t>
                  </w:r>
                </w:p>
              </w:tc>
              <w:tc>
                <w:tcPr>
                  <w:tcW w:w="107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智迪瑞、铭铉、浩东</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10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21.00 </w:t>
                  </w:r>
                </w:p>
              </w:tc>
              <w:tc>
                <w:tcPr>
                  <w:tcW w:w="6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3960" w:hRule="atLeast"/>
                <w:jc w:val="center"/>
              </w:trPr>
              <w:tc>
                <w:tcPr>
                  <w:tcW w:w="4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color w:val="auto"/>
                      <w:sz w:val="20"/>
                      <w:szCs w:val="20"/>
                      <w:highlight w:val="none"/>
                    </w:rPr>
                  </w:pPr>
                  <w:r>
                    <w:rPr>
                      <w:rFonts w:ascii="Arial Narrow" w:hAnsi="Arial Narrow" w:eastAsia="Arial Narrow" w:cs="Arial Narrow"/>
                      <w:color w:val="auto"/>
                      <w:sz w:val="20"/>
                      <w:szCs w:val="20"/>
                      <w:highlight w:val="none"/>
                      <w:lang w:bidi="ar"/>
                    </w:rPr>
                    <w:t>6</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医用六联观片灯</w:t>
                  </w:r>
                </w:p>
              </w:tc>
              <w:tc>
                <w:tcPr>
                  <w:tcW w:w="435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1.名称：医用六联观片灯</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2.规格：①光源类型:六联LED</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②材质及安装方式:1.2厚304不锈钢拉丝板制,嵌入安装</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③观察屏幕要求:亮度:≥3000(cd/m2)、色温≥6500K/可按照厂家推荐满足规上述参数即可,均匀度&gt;0.7、散射系数&gt;0.9</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④供电要求:通电10s内发光、无闪烁、无异响、无延迟现象</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⑤外形尺寸:1197*1047*50mm,开孔尺寸:1200*1050mm</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⑥显示区域范围尺寸:1072*422(上下两层)</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⑦调光方式及范围:按键调光 ,0-100</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⑧板材的材质:亚克力面板</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⑨安装方式:嵌入式,翻边20mm厚</w:t>
                  </w:r>
                </w:p>
              </w:tc>
              <w:tc>
                <w:tcPr>
                  <w:tcW w:w="107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智迪瑞、铭铉、浩东</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10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680" w:hRule="atLeast"/>
                <w:jc w:val="center"/>
              </w:trPr>
              <w:tc>
                <w:tcPr>
                  <w:tcW w:w="4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color w:val="auto"/>
                      <w:sz w:val="20"/>
                      <w:szCs w:val="20"/>
                      <w:highlight w:val="none"/>
                    </w:rPr>
                  </w:pPr>
                  <w:r>
                    <w:rPr>
                      <w:rFonts w:ascii="Arial Narrow" w:hAnsi="Arial Narrow" w:eastAsia="Arial Narrow" w:cs="Arial Narrow"/>
                      <w:color w:val="auto"/>
                      <w:sz w:val="20"/>
                      <w:szCs w:val="20"/>
                      <w:highlight w:val="none"/>
                      <w:lang w:bidi="ar"/>
                    </w:rPr>
                    <w:t>7</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医用电源插座箱</w:t>
                  </w:r>
                </w:p>
              </w:tc>
              <w:tc>
                <w:tcPr>
                  <w:tcW w:w="435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1.名称：医用电源插座箱</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2.规格：①整体喷涂,1200*250*120mm,4个220V10A插座,带底盒及面盖;2个接地端子,1个六类网络插孔。</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②嵌入式安装</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③面框1.2厚304不锈钢拉丝板制,箱体1.0厚冷板粉末喷涂,翻边20mm。</w:t>
                  </w:r>
                </w:p>
              </w:tc>
              <w:tc>
                <w:tcPr>
                  <w:tcW w:w="107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10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63.00 </w:t>
                  </w:r>
                </w:p>
              </w:tc>
              <w:tc>
                <w:tcPr>
                  <w:tcW w:w="6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2000" w:hRule="atLeast"/>
                <w:jc w:val="center"/>
              </w:trPr>
              <w:tc>
                <w:tcPr>
                  <w:tcW w:w="4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color w:val="auto"/>
                      <w:sz w:val="20"/>
                      <w:szCs w:val="20"/>
                      <w:highlight w:val="none"/>
                    </w:rPr>
                  </w:pPr>
                  <w:r>
                    <w:rPr>
                      <w:rFonts w:ascii="Arial Narrow" w:hAnsi="Arial Narrow" w:eastAsia="Arial Narrow" w:cs="Arial Narrow"/>
                      <w:color w:val="auto"/>
                      <w:sz w:val="20"/>
                      <w:szCs w:val="20"/>
                      <w:highlight w:val="none"/>
                      <w:lang w:bidi="ar"/>
                    </w:rPr>
                    <w:t>8</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医用电源插座箱 ( 带 380V)</w:t>
                  </w:r>
                </w:p>
              </w:tc>
              <w:tc>
                <w:tcPr>
                  <w:tcW w:w="435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1.名称：医用电源插座箱 ( 带 380V)</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2.规格：①整体喷涂,1200*250*120mm,1个三相380V16A插座,3个220V10A插座,带底盒及面盖;2个接地端子,1个六类网络插孔。</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②嵌入式安装</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③面框1.2厚304不锈钢拉丝板制,箱体1.0厚冷板粉末喷涂,翻边20mm。</w:t>
                  </w:r>
                </w:p>
              </w:tc>
              <w:tc>
                <w:tcPr>
                  <w:tcW w:w="107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10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21.00 </w:t>
                  </w:r>
                </w:p>
              </w:tc>
              <w:tc>
                <w:tcPr>
                  <w:tcW w:w="6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6240" w:hRule="atLeast"/>
                <w:jc w:val="center"/>
              </w:trPr>
              <w:tc>
                <w:tcPr>
                  <w:tcW w:w="4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color w:val="auto"/>
                      <w:sz w:val="20"/>
                      <w:szCs w:val="20"/>
                      <w:highlight w:val="none"/>
                    </w:rPr>
                  </w:pPr>
                  <w:r>
                    <w:rPr>
                      <w:rFonts w:ascii="Arial Narrow" w:hAnsi="Arial Narrow" w:eastAsia="Arial Narrow" w:cs="Arial Narrow"/>
                      <w:color w:val="auto"/>
                      <w:sz w:val="20"/>
                      <w:szCs w:val="20"/>
                      <w:highlight w:val="none"/>
                      <w:lang w:bidi="ar"/>
                    </w:rPr>
                    <w:t>9</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中央控制面板</w:t>
                  </w:r>
                </w:p>
              </w:tc>
              <w:tc>
                <w:tcPr>
                  <w:tcW w:w="435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1.名称：中央控制面板</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2.规格：①整体喷涂(含书写台)1200*1000*200mm②嵌入式安装,上部用于安装控制屏,下部写字板,写字板下翻式开门</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③配缓冲吊杆,自动照明灯,面框1.2厚304不锈钢拉丝板制,箱体1.0厚冷板粉末静电喷涂。</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3.功能：①手术计时（启停、模式更换、复位）</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 xml:space="preserve">②北京时间（时间调整、设置） </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③麻醉计时（启停、模式更换、复位）</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④医疗气体报警系统（氧气、压缩空气、真空吸引、笑气、氮气、二氧化碳、氩气正等气体的正常指示、欠压、超压报警指示）</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⑤空调系统空调启停、温度显示调节0~50℃、湿度显示调节0-100%、值班工况、负压工况、过滤器堵塞报警，系统运行及故障显示）</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⑥控制部分（照明2组、无影灯1组、观片灯1组、废气排放开关1组、备用）</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⑦电话呼叫（电话对讲、背景音乐广播音量控制）</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⑧通讯协议：RS485 9、工作电压：220V 50HZ</w:t>
                  </w:r>
                </w:p>
              </w:tc>
              <w:tc>
                <w:tcPr>
                  <w:tcW w:w="107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10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21.00 </w:t>
                  </w:r>
                </w:p>
              </w:tc>
              <w:tc>
                <w:tcPr>
                  <w:tcW w:w="6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639" w:hRule="atLeast"/>
                <w:jc w:val="center"/>
              </w:trPr>
              <w:tc>
                <w:tcPr>
                  <w:tcW w:w="4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color w:val="auto"/>
                      <w:sz w:val="20"/>
                      <w:szCs w:val="20"/>
                      <w:highlight w:val="none"/>
                    </w:rPr>
                  </w:pPr>
                  <w:r>
                    <w:rPr>
                      <w:rFonts w:ascii="Arial Narrow" w:hAnsi="Arial Narrow" w:eastAsia="Arial Narrow" w:cs="Arial Narrow"/>
                      <w:color w:val="auto"/>
                      <w:sz w:val="20"/>
                      <w:szCs w:val="20"/>
                      <w:highlight w:val="none"/>
                      <w:lang w:bidi="ar"/>
                    </w:rPr>
                    <w:t>10</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记录板</w:t>
                  </w:r>
                </w:p>
              </w:tc>
              <w:tc>
                <w:tcPr>
                  <w:tcW w:w="435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含光源等,安装</w:t>
                  </w:r>
                </w:p>
              </w:tc>
              <w:tc>
                <w:tcPr>
                  <w:tcW w:w="107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套</w:t>
                  </w:r>
                </w:p>
              </w:tc>
              <w:tc>
                <w:tcPr>
                  <w:tcW w:w="10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21.00 </w:t>
                  </w:r>
                </w:p>
              </w:tc>
              <w:tc>
                <w:tcPr>
                  <w:tcW w:w="6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960" w:hRule="atLeast"/>
                <w:jc w:val="center"/>
              </w:trPr>
              <w:tc>
                <w:tcPr>
                  <w:tcW w:w="4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color w:val="auto"/>
                      <w:sz w:val="20"/>
                      <w:szCs w:val="20"/>
                      <w:highlight w:val="none"/>
                    </w:rPr>
                  </w:pPr>
                  <w:r>
                    <w:rPr>
                      <w:rFonts w:ascii="Arial Narrow" w:hAnsi="Arial Narrow" w:eastAsia="Arial Narrow" w:cs="Arial Narrow"/>
                      <w:color w:val="auto"/>
                      <w:sz w:val="20"/>
                      <w:szCs w:val="20"/>
                      <w:highlight w:val="none"/>
                      <w:lang w:bidi="ar"/>
                    </w:rPr>
                    <w:t>11</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医用保温柜</w:t>
                  </w:r>
                </w:p>
              </w:tc>
              <w:tc>
                <w:tcPr>
                  <w:tcW w:w="435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1.名称：医用保温柜</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2.规格：1200*1700*400mm（尺寸参嵌入式导管柜）；温控范围：0-100℃（每度可调）； 有效容积：150L</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3.支架：角钢支架固定</w:t>
                  </w:r>
                </w:p>
              </w:tc>
              <w:tc>
                <w:tcPr>
                  <w:tcW w:w="107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福意联、松下、海尔</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10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15.00 </w:t>
                  </w:r>
                </w:p>
              </w:tc>
              <w:tc>
                <w:tcPr>
                  <w:tcW w:w="6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960" w:hRule="atLeast"/>
                <w:jc w:val="center"/>
              </w:trPr>
              <w:tc>
                <w:tcPr>
                  <w:tcW w:w="4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color w:val="auto"/>
                      <w:sz w:val="20"/>
                      <w:szCs w:val="20"/>
                      <w:highlight w:val="none"/>
                    </w:rPr>
                  </w:pPr>
                  <w:r>
                    <w:rPr>
                      <w:rFonts w:ascii="Arial Narrow" w:hAnsi="Arial Narrow" w:eastAsia="Arial Narrow" w:cs="Arial Narrow"/>
                      <w:color w:val="auto"/>
                      <w:sz w:val="20"/>
                      <w:szCs w:val="20"/>
                      <w:highlight w:val="none"/>
                      <w:lang w:bidi="ar"/>
                    </w:rPr>
                    <w:t>12</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医用保冷柜</w:t>
                  </w:r>
                </w:p>
              </w:tc>
              <w:tc>
                <w:tcPr>
                  <w:tcW w:w="435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1.名称：医用保冷柜</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2.规格：480*470*840mm； 温控范围：2-8℃（每度可调）； 有效容积：88L</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3.支架：角钢支架固定</w:t>
                  </w:r>
                </w:p>
              </w:tc>
              <w:tc>
                <w:tcPr>
                  <w:tcW w:w="107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福意联、松下、海尔</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10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15.00 </w:t>
                  </w:r>
                </w:p>
              </w:tc>
              <w:tc>
                <w:tcPr>
                  <w:tcW w:w="6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200" w:hRule="atLeast"/>
                <w:jc w:val="center"/>
              </w:trPr>
              <w:tc>
                <w:tcPr>
                  <w:tcW w:w="4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color w:val="auto"/>
                      <w:sz w:val="20"/>
                      <w:szCs w:val="20"/>
                      <w:highlight w:val="none"/>
                    </w:rPr>
                  </w:pPr>
                  <w:r>
                    <w:rPr>
                      <w:rFonts w:ascii="Arial Narrow" w:hAnsi="Arial Narrow" w:eastAsia="Arial Narrow" w:cs="Arial Narrow"/>
                      <w:color w:val="auto"/>
                      <w:sz w:val="20"/>
                      <w:szCs w:val="20"/>
                      <w:highlight w:val="none"/>
                      <w:lang w:bidi="ar"/>
                    </w:rPr>
                    <w:t>13</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气体面板箱</w:t>
                  </w:r>
                </w:p>
              </w:tc>
              <w:tc>
                <w:tcPr>
                  <w:tcW w:w="435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1.名称：气体面板箱</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2.规格：①整体喷涂,1200*400*150mm。</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②嵌入式安装,翻边20mm。</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③面框1.2厚304不锈板制,箱体1.0厚冷板粉末静电喷涂,不含气体终端,带检修门。</w:t>
                  </w:r>
                </w:p>
              </w:tc>
              <w:tc>
                <w:tcPr>
                  <w:tcW w:w="107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10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21.00 </w:t>
                  </w:r>
                </w:p>
              </w:tc>
              <w:tc>
                <w:tcPr>
                  <w:tcW w:w="6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270" w:hRule="atLeast"/>
                <w:jc w:val="center"/>
              </w:trPr>
              <w:tc>
                <w:tcPr>
                  <w:tcW w:w="4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color w:val="auto"/>
                      <w:sz w:val="20"/>
                      <w:szCs w:val="20"/>
                      <w:highlight w:val="none"/>
                    </w:rPr>
                  </w:pPr>
                  <w:r>
                    <w:rPr>
                      <w:rFonts w:ascii="Arial Narrow" w:hAnsi="Arial Narrow" w:eastAsia="Arial Narrow" w:cs="Arial Narrow"/>
                      <w:color w:val="auto"/>
                      <w:sz w:val="20"/>
                      <w:szCs w:val="20"/>
                      <w:highlight w:val="none"/>
                      <w:lang w:bidi="ar"/>
                    </w:rPr>
                    <w:t>14</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微压计</w:t>
                  </w:r>
                </w:p>
              </w:tc>
              <w:tc>
                <w:tcPr>
                  <w:tcW w:w="435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1.名称:微压计</w:t>
                  </w:r>
                </w:p>
              </w:tc>
              <w:tc>
                <w:tcPr>
                  <w:tcW w:w="107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10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21.00 </w:t>
                  </w:r>
                </w:p>
              </w:tc>
              <w:tc>
                <w:tcPr>
                  <w:tcW w:w="6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740" w:hRule="atLeast"/>
                <w:jc w:val="center"/>
              </w:trPr>
              <w:tc>
                <w:tcPr>
                  <w:tcW w:w="4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color w:val="auto"/>
                      <w:sz w:val="20"/>
                      <w:szCs w:val="20"/>
                      <w:highlight w:val="none"/>
                    </w:rPr>
                  </w:pPr>
                  <w:r>
                    <w:rPr>
                      <w:rFonts w:ascii="Arial Narrow" w:hAnsi="Arial Narrow" w:eastAsia="Arial Narrow" w:cs="Arial Narrow"/>
                      <w:color w:val="auto"/>
                      <w:sz w:val="20"/>
                      <w:szCs w:val="20"/>
                      <w:highlight w:val="none"/>
                      <w:lang w:bidi="ar"/>
                    </w:rPr>
                    <w:t>15</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无影灯锚栓</w:t>
                  </w:r>
                </w:p>
              </w:tc>
              <w:tc>
                <w:tcPr>
                  <w:tcW w:w="435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1.名称:无影灯锚栓</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2.施工工艺:M12膨胀螺栓固定顶面钢板；两根L50角钢固定于结构顶面；四根L50角钢与顶面角钢满焊；斜拉L40角钢固定于顶面。</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3.工作内容:施工准备,场内运输、定位划线、组对点焊、焊接。</w:t>
                  </w:r>
                </w:p>
              </w:tc>
              <w:tc>
                <w:tcPr>
                  <w:tcW w:w="107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座</w:t>
                  </w:r>
                </w:p>
              </w:tc>
              <w:tc>
                <w:tcPr>
                  <w:tcW w:w="10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21.00 </w:t>
                  </w:r>
                </w:p>
              </w:tc>
              <w:tc>
                <w:tcPr>
                  <w:tcW w:w="6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680" w:hRule="atLeast"/>
                <w:jc w:val="center"/>
              </w:trPr>
              <w:tc>
                <w:tcPr>
                  <w:tcW w:w="4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color w:val="auto"/>
                      <w:sz w:val="20"/>
                      <w:szCs w:val="20"/>
                      <w:highlight w:val="none"/>
                    </w:rPr>
                  </w:pPr>
                  <w:r>
                    <w:rPr>
                      <w:rFonts w:ascii="Arial Narrow" w:hAnsi="Arial Narrow" w:eastAsia="Arial Narrow" w:cs="Arial Narrow"/>
                      <w:color w:val="auto"/>
                      <w:sz w:val="20"/>
                      <w:szCs w:val="20"/>
                      <w:highlight w:val="none"/>
                      <w:lang w:bidi="ar"/>
                    </w:rPr>
                    <w:t>16</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吊塔锚栓</w:t>
                  </w:r>
                </w:p>
              </w:tc>
              <w:tc>
                <w:tcPr>
                  <w:tcW w:w="435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1.名称:吊塔锚栓</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2.施工工艺:M14膨胀螺栓固定顶面钢板；两根L50角钢固定于结构顶面；四根L50角钢与顶面角钢满焊；斜拉L40角钢固定于顶面。</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3.工作内容:施工准备,场内运输、定位划线、组对点焊、焊接。</w:t>
                  </w:r>
                </w:p>
              </w:tc>
              <w:tc>
                <w:tcPr>
                  <w:tcW w:w="107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座</w:t>
                  </w:r>
                </w:p>
              </w:tc>
              <w:tc>
                <w:tcPr>
                  <w:tcW w:w="10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30.00 </w:t>
                  </w:r>
                </w:p>
              </w:tc>
              <w:tc>
                <w:tcPr>
                  <w:tcW w:w="6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480" w:hRule="atLeast"/>
                <w:jc w:val="center"/>
              </w:trPr>
              <w:tc>
                <w:tcPr>
                  <w:tcW w:w="4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color w:val="auto"/>
                      <w:sz w:val="20"/>
                      <w:szCs w:val="20"/>
                      <w:highlight w:val="none"/>
                    </w:rPr>
                  </w:pPr>
                  <w:r>
                    <w:rPr>
                      <w:rFonts w:ascii="Arial Narrow" w:hAnsi="Arial Narrow" w:eastAsia="Arial Narrow" w:cs="Arial Narrow"/>
                      <w:color w:val="auto"/>
                      <w:sz w:val="20"/>
                      <w:szCs w:val="20"/>
                      <w:highlight w:val="none"/>
                      <w:lang w:bidi="ar"/>
                    </w:rPr>
                    <w:t>17</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输液导轨</w:t>
                  </w:r>
                </w:p>
              </w:tc>
              <w:tc>
                <w:tcPr>
                  <w:tcW w:w="435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1.名称:输液导轨</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2.规格:直线型输液导轨</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3.备注：2.6米长，可以上下移动，吸顶式，两条轨道间距1.2m（含吊钩4个）</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4.工作内容:钻孔、加楔、拧螺钉、固定、清理等。</w:t>
                  </w:r>
                </w:p>
              </w:tc>
              <w:tc>
                <w:tcPr>
                  <w:tcW w:w="107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套</w:t>
                  </w:r>
                </w:p>
              </w:tc>
              <w:tc>
                <w:tcPr>
                  <w:tcW w:w="10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27.00 </w:t>
                  </w:r>
                </w:p>
              </w:tc>
              <w:tc>
                <w:tcPr>
                  <w:tcW w:w="6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200" w:hRule="atLeast"/>
                <w:jc w:val="center"/>
              </w:trPr>
              <w:tc>
                <w:tcPr>
                  <w:tcW w:w="4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color w:val="auto"/>
                      <w:sz w:val="20"/>
                      <w:szCs w:val="20"/>
                      <w:highlight w:val="none"/>
                    </w:rPr>
                  </w:pPr>
                  <w:r>
                    <w:rPr>
                      <w:rFonts w:ascii="Arial Narrow" w:hAnsi="Arial Narrow" w:eastAsia="Arial Narrow" w:cs="Arial Narrow"/>
                      <w:color w:val="auto"/>
                      <w:sz w:val="20"/>
                      <w:szCs w:val="20"/>
                      <w:highlight w:val="none"/>
                      <w:lang w:bidi="ar"/>
                    </w:rPr>
                    <w:t>18</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医用隔帘</w:t>
                  </w:r>
                </w:p>
              </w:tc>
              <w:tc>
                <w:tcPr>
                  <w:tcW w:w="435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1.名称:医用隔帘</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2.规格:医用隔离导轨及隔帘</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3.备注：5.5米长，2.5m高隔帘，吸顶式</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4.工作内容:钻孔、加楔、拧螺钉、固定、清理等。</w:t>
                  </w:r>
                </w:p>
              </w:tc>
              <w:tc>
                <w:tcPr>
                  <w:tcW w:w="107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套</w:t>
                  </w:r>
                </w:p>
              </w:tc>
              <w:tc>
                <w:tcPr>
                  <w:tcW w:w="10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4.00 </w:t>
                  </w:r>
                </w:p>
              </w:tc>
              <w:tc>
                <w:tcPr>
                  <w:tcW w:w="6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285" w:hRule="atLeast"/>
                <w:jc w:val="center"/>
              </w:trPr>
              <w:tc>
                <w:tcPr>
                  <w:tcW w:w="4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color w:val="auto"/>
                      <w:sz w:val="20"/>
                      <w:szCs w:val="20"/>
                      <w:highlight w:val="none"/>
                    </w:rPr>
                  </w:pPr>
                  <w:r>
                    <w:rPr>
                      <w:rFonts w:ascii="Arial Narrow" w:hAnsi="Arial Narrow" w:eastAsia="Arial Narrow" w:cs="Arial Narrow"/>
                      <w:color w:val="auto"/>
                      <w:sz w:val="20"/>
                      <w:szCs w:val="20"/>
                      <w:highlight w:val="none"/>
                      <w:lang w:bidi="ar"/>
                    </w:rPr>
                    <w:t>19</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嵌入式冰箱</w:t>
                  </w:r>
                </w:p>
              </w:tc>
              <w:tc>
                <w:tcPr>
                  <w:tcW w:w="435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符合设计要求</w:t>
                  </w:r>
                </w:p>
              </w:tc>
              <w:tc>
                <w:tcPr>
                  <w:tcW w:w="107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 w:val="20"/>
                      <w:szCs w:val="20"/>
                      <w:highlight w:val="none"/>
                    </w:rPr>
                  </w:pP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10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21.00 </w:t>
                  </w:r>
                </w:p>
              </w:tc>
              <w:tc>
                <w:tcPr>
                  <w:tcW w:w="6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480" w:hRule="atLeast"/>
                <w:jc w:val="center"/>
              </w:trPr>
              <w:tc>
                <w:tcPr>
                  <w:tcW w:w="4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bCs/>
                      <w:color w:val="auto"/>
                      <w:sz w:val="20"/>
                      <w:szCs w:val="20"/>
                      <w:highlight w:val="none"/>
                    </w:rPr>
                  </w:pPr>
                  <w:r>
                    <w:rPr>
                      <w:rFonts w:hint="eastAsia" w:ascii="宋体" w:hAnsi="宋体" w:cs="宋体"/>
                      <w:b/>
                      <w:bCs/>
                      <w:color w:val="auto"/>
                      <w:sz w:val="20"/>
                      <w:szCs w:val="20"/>
                      <w:highlight w:val="none"/>
                      <w:lang w:bidi="ar"/>
                    </w:rPr>
                    <w:t>七</w:t>
                  </w:r>
                </w:p>
              </w:tc>
              <w:tc>
                <w:tcPr>
                  <w:tcW w:w="514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color w:val="auto"/>
                      <w:sz w:val="20"/>
                      <w:szCs w:val="20"/>
                      <w:highlight w:val="none"/>
                    </w:rPr>
                  </w:pPr>
                  <w:r>
                    <w:rPr>
                      <w:rFonts w:hint="eastAsia" w:ascii="宋体" w:hAnsi="宋体" w:cs="宋体"/>
                      <w:b/>
                      <w:bCs/>
                      <w:color w:val="auto"/>
                      <w:sz w:val="20"/>
                      <w:szCs w:val="20"/>
                      <w:highlight w:val="none"/>
                      <w:lang w:bidi="ar"/>
                    </w:rPr>
                    <w:t>CSSD消毒供应中心不锈钢医用制品</w:t>
                  </w:r>
                </w:p>
              </w:tc>
              <w:tc>
                <w:tcPr>
                  <w:tcW w:w="107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 w:val="20"/>
                      <w:szCs w:val="20"/>
                      <w:highlight w:val="none"/>
                    </w:rPr>
                  </w:pP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auto"/>
                      <w:sz w:val="20"/>
                      <w:szCs w:val="20"/>
                      <w:highlight w:val="none"/>
                    </w:rPr>
                  </w:pPr>
                </w:p>
              </w:tc>
              <w:tc>
                <w:tcPr>
                  <w:tcW w:w="10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auto"/>
                      <w:sz w:val="20"/>
                      <w:szCs w:val="20"/>
                      <w:highlight w:val="none"/>
                    </w:rPr>
                  </w:pPr>
                </w:p>
              </w:tc>
              <w:tc>
                <w:tcPr>
                  <w:tcW w:w="6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285" w:hRule="atLeast"/>
                <w:jc w:val="center"/>
              </w:trPr>
              <w:tc>
                <w:tcPr>
                  <w:tcW w:w="45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bCs/>
                      <w:color w:val="auto"/>
                      <w:sz w:val="20"/>
                      <w:szCs w:val="20"/>
                      <w:highlight w:val="none"/>
                    </w:rPr>
                  </w:pP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bCs/>
                      <w:color w:val="auto"/>
                      <w:sz w:val="20"/>
                      <w:szCs w:val="20"/>
                      <w:highlight w:val="none"/>
                    </w:rPr>
                  </w:pPr>
                  <w:r>
                    <w:rPr>
                      <w:rFonts w:hint="eastAsia" w:ascii="宋体" w:hAnsi="宋体" w:cs="宋体"/>
                      <w:b/>
                      <w:bCs/>
                      <w:color w:val="auto"/>
                      <w:sz w:val="20"/>
                      <w:szCs w:val="20"/>
                      <w:highlight w:val="none"/>
                      <w:lang w:bidi="ar"/>
                    </w:rPr>
                    <w:t>去 污 区</w:t>
                  </w:r>
                </w:p>
              </w:tc>
              <w:tc>
                <w:tcPr>
                  <w:tcW w:w="435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bCs/>
                      <w:color w:val="auto"/>
                      <w:sz w:val="20"/>
                      <w:szCs w:val="20"/>
                      <w:highlight w:val="none"/>
                    </w:rPr>
                  </w:pPr>
                </w:p>
              </w:tc>
              <w:tc>
                <w:tcPr>
                  <w:tcW w:w="107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 w:val="20"/>
                      <w:szCs w:val="20"/>
                      <w:highlight w:val="none"/>
                    </w:rPr>
                  </w:pP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auto"/>
                      <w:sz w:val="20"/>
                      <w:szCs w:val="20"/>
                      <w:highlight w:val="none"/>
                    </w:rPr>
                  </w:pPr>
                </w:p>
              </w:tc>
              <w:tc>
                <w:tcPr>
                  <w:tcW w:w="10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auto"/>
                      <w:sz w:val="20"/>
                      <w:szCs w:val="20"/>
                      <w:highlight w:val="none"/>
                    </w:rPr>
                  </w:pPr>
                </w:p>
              </w:tc>
              <w:tc>
                <w:tcPr>
                  <w:tcW w:w="6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6240" w:hRule="atLeast"/>
                <w:jc w:val="center"/>
              </w:trPr>
              <w:tc>
                <w:tcPr>
                  <w:tcW w:w="4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手工清洗槽组</w:t>
                  </w:r>
                </w:p>
              </w:tc>
              <w:tc>
                <w:tcPr>
                  <w:tcW w:w="435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1.尺寸：5400×690×850/2040mm</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2.规格：五槽+超声（柜体整体喷涂）</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3.台面及槽体均为模压一次成型，为满足各种型号清洗网篮的放置，槽体需要满足600×500×280mm</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4.为保证清洗剂长期浸泡使用不生锈，槽体材质为SUS316不锈钢（需提供有资质的第三方检测报告）</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5.槽体内需要有激光打印刻度以方便浸泡器械使用</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6.水槽台面压花不锈钢板、含背板、LED灯、无极升降PC罩、微量水龙头、浸泡槽阀门装置（电动、手势控制、非接触式）、触摸式倒计时、水枪安装孔、气枪安装孔、洗眼器。</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7.工艺：台面为模压双层复合成型内凹式（防止水流出）；四门为双层复合无缝焊接；水槽体为模压一次成形；槽体配激光刻度。</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8.材质：国标SUS304不锈钢（并符合GB/T 3280-2007的要求，镍金属含量不低于8%）槽体SUS316(镍金属含量不低于10%）</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9.主材规格：主板材厚度≥1.2mm，其余板材厚度≥1.0mm</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10、柜体整体喷涂：提供13种色系选择。</w:t>
                  </w:r>
                </w:p>
              </w:tc>
              <w:tc>
                <w:tcPr>
                  <w:tcW w:w="107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套</w:t>
                  </w:r>
                </w:p>
              </w:tc>
              <w:tc>
                <w:tcPr>
                  <w:tcW w:w="104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w:t>
                  </w:r>
                </w:p>
              </w:tc>
              <w:tc>
                <w:tcPr>
                  <w:tcW w:w="6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6520" w:hRule="atLeast"/>
                <w:jc w:val="center"/>
              </w:trPr>
              <w:tc>
                <w:tcPr>
                  <w:tcW w:w="4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硬镜器械清洗槽组</w:t>
                  </w:r>
                </w:p>
              </w:tc>
              <w:tc>
                <w:tcPr>
                  <w:tcW w:w="435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exact"/>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1.尺寸：5400×690×850/2040mm</w:t>
                  </w:r>
                </w:p>
                <w:p>
                  <w:pPr>
                    <w:widowControl/>
                    <w:spacing w:line="240" w:lineRule="exact"/>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2.规格：五槽+超声（柜体整体喷涂）</w:t>
                  </w:r>
                </w:p>
                <w:p>
                  <w:pPr>
                    <w:widowControl/>
                    <w:spacing w:line="240" w:lineRule="exact"/>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3.台面及槽体均为模压一次成型，为满足各种型号清洗网篮的放置，槽体需要满足600×500×280mm</w:t>
                  </w:r>
                </w:p>
                <w:p>
                  <w:pPr>
                    <w:widowControl/>
                    <w:spacing w:line="240" w:lineRule="exact"/>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4.为保证清洗剂长期浸泡使用不生锈，槽体材质为SUS316不锈钢（需提供有资质的第三方检测报告）</w:t>
                  </w:r>
                </w:p>
                <w:p>
                  <w:pPr>
                    <w:widowControl/>
                    <w:spacing w:line="240" w:lineRule="exact"/>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5.槽体内需要有激光打印刻度以方便浸泡器械使用</w:t>
                  </w:r>
                </w:p>
                <w:p>
                  <w:pPr>
                    <w:widowControl/>
                    <w:spacing w:line="240" w:lineRule="exact"/>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6.水槽台面压花不锈钢板、含背板、LED灯、无极升降PC罩、微量水龙头、浸泡槽阀门装置（电动、手势控制、非接触式）、触摸式倒计时、水枪安装孔、气枪安装孔、洗眼器。</w:t>
                  </w:r>
                </w:p>
                <w:p>
                  <w:pPr>
                    <w:widowControl/>
                    <w:spacing w:line="240" w:lineRule="exact"/>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7.工艺：台面为模压双层复合成型内凹式（防止水流出）；四门为双层复合无缝焊接；水槽体为模压一次成形；槽体配激光刻度。</w:t>
                  </w:r>
                </w:p>
                <w:p>
                  <w:pPr>
                    <w:widowControl/>
                    <w:spacing w:line="240" w:lineRule="exact"/>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8.材质：国标SUS304不锈钢（并符合GB/T 3280-2007的要求，镍金属含量不低于8%）槽体SUS316(镍金属含量不低于10%）</w:t>
                  </w:r>
                </w:p>
                <w:p>
                  <w:pPr>
                    <w:widowControl/>
                    <w:spacing w:line="240" w:lineRule="exact"/>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9.主材规格：主板材厚度≥1.2mm，其余板材厚度≥1.0mm</w:t>
                  </w:r>
                </w:p>
                <w:p>
                  <w:pPr>
                    <w:widowControl/>
                    <w:spacing w:line="240" w:lineRule="exact"/>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10、柜体整体喷涂：提供13种色系选择。</w:t>
                  </w:r>
                </w:p>
              </w:tc>
              <w:tc>
                <w:tcPr>
                  <w:tcW w:w="107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套</w:t>
                  </w:r>
                </w:p>
              </w:tc>
              <w:tc>
                <w:tcPr>
                  <w:tcW w:w="104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w:t>
                  </w:r>
                </w:p>
              </w:tc>
              <w:tc>
                <w:tcPr>
                  <w:tcW w:w="6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6320" w:hRule="atLeast"/>
                <w:jc w:val="center"/>
              </w:trPr>
              <w:tc>
                <w:tcPr>
                  <w:tcW w:w="4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3</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硬镜器械清洗槽组</w:t>
                  </w:r>
                </w:p>
              </w:tc>
              <w:tc>
                <w:tcPr>
                  <w:tcW w:w="435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1.尺寸：7200×690×850/2040mm</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2.规格：五槽+超声（柜体整体喷涂）</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3.台面及槽体均为模压一次成型，为满足各种型号清洗网篮的放置，槽体需要满足600×500×280mm</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4.为保证清洗剂长期浸泡使用不生锈，槽体材质为SUS316不锈钢（需提供有资质的第三方检测报告）</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5.槽体内需要有激光打印刻度以方便浸泡器械使用</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6.水槽台面压花不锈钢板、含背板、LED灯、无极升降PC罩、微量水龙头、浸泡槽阀门装置（电动、手势控制、非接触式）、触摸式倒计时、水枪安装孔、气枪安装孔、洗眼器。</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7.工艺：台面为模压双层复合成型内凹式（防止水流出）；四门为双层复合无缝焊接；水槽体为模压一次成形；槽体配激光刻度。</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8.材质：国标SUS304不锈钢（并符合GB/T 3280-2007的要求，镍金属含量不低于8%）槽体SUS316(镍金属含量不低于10%）</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9.主材规格：主板材厚度≥1.2mm，其余板材厚度≥1.0mm</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10、柜体整体喷涂：提供13种色系选择。</w:t>
                  </w:r>
                </w:p>
              </w:tc>
              <w:tc>
                <w:tcPr>
                  <w:tcW w:w="107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套</w:t>
                  </w:r>
                </w:p>
              </w:tc>
              <w:tc>
                <w:tcPr>
                  <w:tcW w:w="104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w:t>
                  </w:r>
                </w:p>
              </w:tc>
              <w:tc>
                <w:tcPr>
                  <w:tcW w:w="6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940" w:hRule="atLeast"/>
                <w:jc w:val="center"/>
              </w:trPr>
              <w:tc>
                <w:tcPr>
                  <w:tcW w:w="4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4</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传递柜</w:t>
                  </w:r>
                </w:p>
              </w:tc>
              <w:tc>
                <w:tcPr>
                  <w:tcW w:w="435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1.尺寸：1000×600×800/2200mm</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2.规格：上部双向无级升降、下部柜体单面带门</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3.工艺：门为双层复合式无缝焊接</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4.材质：国标SUS304不锈钢（并符合GB/T 3280-2007的要求，镍金属含量不低于8%）</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5.主材规格：封板、外框板材厚度≥1.2mm</w:t>
                  </w:r>
                </w:p>
              </w:tc>
              <w:tc>
                <w:tcPr>
                  <w:tcW w:w="107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套</w:t>
                  </w:r>
                </w:p>
              </w:tc>
              <w:tc>
                <w:tcPr>
                  <w:tcW w:w="104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w:t>
                  </w:r>
                </w:p>
              </w:tc>
              <w:tc>
                <w:tcPr>
                  <w:tcW w:w="6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480" w:hRule="atLeast"/>
                <w:jc w:val="center"/>
              </w:trPr>
              <w:tc>
                <w:tcPr>
                  <w:tcW w:w="45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bCs/>
                      <w:color w:val="auto"/>
                      <w:sz w:val="20"/>
                      <w:szCs w:val="20"/>
                      <w:highlight w:val="none"/>
                    </w:rPr>
                  </w:pPr>
                </w:p>
              </w:tc>
              <w:tc>
                <w:tcPr>
                  <w:tcW w:w="514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 w:val="20"/>
                      <w:szCs w:val="20"/>
                      <w:highlight w:val="none"/>
                    </w:rPr>
                  </w:pPr>
                  <w:r>
                    <w:rPr>
                      <w:rFonts w:hint="eastAsia" w:ascii="宋体" w:hAnsi="宋体" w:cs="宋体"/>
                      <w:b/>
                      <w:bCs/>
                      <w:color w:val="auto"/>
                      <w:sz w:val="20"/>
                      <w:szCs w:val="20"/>
                      <w:highlight w:val="none"/>
                      <w:lang w:bidi="ar"/>
                    </w:rPr>
                    <w:t>检查包装及灭菌区</w:t>
                  </w:r>
                </w:p>
              </w:tc>
              <w:tc>
                <w:tcPr>
                  <w:tcW w:w="107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 w:val="20"/>
                      <w:szCs w:val="20"/>
                      <w:highlight w:val="none"/>
                    </w:rPr>
                  </w:pP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auto"/>
                      <w:sz w:val="20"/>
                      <w:szCs w:val="20"/>
                      <w:highlight w:val="none"/>
                    </w:rPr>
                  </w:pPr>
                </w:p>
              </w:tc>
              <w:tc>
                <w:tcPr>
                  <w:tcW w:w="104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 w:val="20"/>
                      <w:szCs w:val="20"/>
                      <w:highlight w:val="none"/>
                    </w:rPr>
                  </w:pPr>
                </w:p>
              </w:tc>
              <w:tc>
                <w:tcPr>
                  <w:tcW w:w="6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960" w:hRule="atLeast"/>
                <w:jc w:val="center"/>
              </w:trPr>
              <w:tc>
                <w:tcPr>
                  <w:tcW w:w="4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传递窗</w:t>
                  </w:r>
                </w:p>
              </w:tc>
              <w:tc>
                <w:tcPr>
                  <w:tcW w:w="435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1.尺寸：900×120×1400mm</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2.规格：上部双向无级升降</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3.工艺：门为双层复合式无缝焊接</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4.材质：国标SUS304不锈钢（并符合GB/T 3280-2007的要求，镍金属含量不低于8%）</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5.主材规格：封板、外框板材厚度≥1.2mm</w:t>
                  </w:r>
                </w:p>
              </w:tc>
              <w:tc>
                <w:tcPr>
                  <w:tcW w:w="107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套</w:t>
                  </w:r>
                </w:p>
              </w:tc>
              <w:tc>
                <w:tcPr>
                  <w:tcW w:w="104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w:t>
                  </w:r>
                </w:p>
              </w:tc>
              <w:tc>
                <w:tcPr>
                  <w:tcW w:w="6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960" w:hRule="atLeast"/>
                <w:jc w:val="center"/>
              </w:trPr>
              <w:tc>
                <w:tcPr>
                  <w:tcW w:w="4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传递柜</w:t>
                  </w:r>
                </w:p>
              </w:tc>
              <w:tc>
                <w:tcPr>
                  <w:tcW w:w="435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1.尺寸：1000×600×800/2200mm</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2.规格：上部双向无级升降、下部柜体单面带门</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3.工艺：门为双层复合式无缝焊接</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4.材质：国标SUS304不锈钢（并符合GB/T 3280-2007的要求，镍金属含量不低于8%）</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5.主材规格：封板、外框板材厚度≥1.2mm</w:t>
                  </w:r>
                </w:p>
              </w:tc>
              <w:tc>
                <w:tcPr>
                  <w:tcW w:w="107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套</w:t>
                  </w:r>
                </w:p>
              </w:tc>
              <w:tc>
                <w:tcPr>
                  <w:tcW w:w="104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w:t>
                  </w:r>
                </w:p>
              </w:tc>
              <w:tc>
                <w:tcPr>
                  <w:tcW w:w="6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480" w:hRule="atLeast"/>
                <w:jc w:val="center"/>
              </w:trPr>
              <w:tc>
                <w:tcPr>
                  <w:tcW w:w="45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bCs/>
                      <w:color w:val="auto"/>
                      <w:sz w:val="20"/>
                      <w:szCs w:val="20"/>
                      <w:highlight w:val="none"/>
                    </w:rPr>
                  </w:pPr>
                </w:p>
              </w:tc>
              <w:tc>
                <w:tcPr>
                  <w:tcW w:w="514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bCs/>
                      <w:color w:val="auto"/>
                      <w:sz w:val="20"/>
                      <w:szCs w:val="20"/>
                      <w:highlight w:val="none"/>
                    </w:rPr>
                  </w:pPr>
                  <w:r>
                    <w:rPr>
                      <w:rFonts w:hint="eastAsia" w:ascii="宋体" w:hAnsi="宋体" w:cs="宋体"/>
                      <w:b/>
                      <w:bCs/>
                      <w:color w:val="auto"/>
                      <w:sz w:val="20"/>
                      <w:szCs w:val="20"/>
                      <w:highlight w:val="none"/>
                      <w:lang w:bidi="ar"/>
                    </w:rPr>
                    <w:t>无菌物品存放区</w:t>
                  </w:r>
                </w:p>
              </w:tc>
              <w:tc>
                <w:tcPr>
                  <w:tcW w:w="107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 w:val="20"/>
                      <w:szCs w:val="20"/>
                      <w:highlight w:val="none"/>
                    </w:rPr>
                  </w:pP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p>
              </w:tc>
              <w:tc>
                <w:tcPr>
                  <w:tcW w:w="104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bCs/>
                      <w:color w:val="auto"/>
                      <w:sz w:val="20"/>
                      <w:szCs w:val="20"/>
                      <w:highlight w:val="none"/>
                    </w:rPr>
                  </w:pPr>
                </w:p>
              </w:tc>
              <w:tc>
                <w:tcPr>
                  <w:tcW w:w="6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2160" w:hRule="atLeast"/>
                <w:jc w:val="center"/>
              </w:trPr>
              <w:tc>
                <w:tcPr>
                  <w:tcW w:w="4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传递柜</w:t>
                  </w:r>
                </w:p>
              </w:tc>
              <w:tc>
                <w:tcPr>
                  <w:tcW w:w="435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1.尺寸：1000×600×800/2200mm</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2.规格：上部双向无级升降、下部柜体单面带门</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3.工艺：门为双层复合式无缝焊接</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4.材质：国标SUS304不锈钢（并符合GB/T 3280-2007的要求，镍金属含量不低于8%）</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5.主材规格：封板、外框板材厚度≥1.2mm</w:t>
                  </w:r>
                </w:p>
              </w:tc>
              <w:tc>
                <w:tcPr>
                  <w:tcW w:w="107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套</w:t>
                  </w:r>
                </w:p>
              </w:tc>
              <w:tc>
                <w:tcPr>
                  <w:tcW w:w="104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3</w:t>
                  </w:r>
                </w:p>
              </w:tc>
              <w:tc>
                <w:tcPr>
                  <w:tcW w:w="6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680" w:hRule="atLeast"/>
                <w:jc w:val="center"/>
              </w:trPr>
              <w:tc>
                <w:tcPr>
                  <w:tcW w:w="4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互锁双通柜</w:t>
                  </w:r>
                </w:p>
              </w:tc>
              <w:tc>
                <w:tcPr>
                  <w:tcW w:w="435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1.尺寸：600×600×600mm</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2.规格：单门互锁、滚轴式机械互锁机构</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3.工艺：门为双层复合式无缝焊接</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4.材质：国标SUS304不锈钢（并符合GB/T 3280-2007的要求，镍金属含量不低于8%）</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5.主材规格：封板、外框板材厚度≥1.2mm</w:t>
                  </w:r>
                </w:p>
              </w:tc>
              <w:tc>
                <w:tcPr>
                  <w:tcW w:w="107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套</w:t>
                  </w:r>
                </w:p>
              </w:tc>
              <w:tc>
                <w:tcPr>
                  <w:tcW w:w="104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6</w:t>
                  </w:r>
                </w:p>
              </w:tc>
              <w:tc>
                <w:tcPr>
                  <w:tcW w:w="6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285" w:hRule="atLeast"/>
                <w:jc w:val="center"/>
              </w:trPr>
              <w:tc>
                <w:tcPr>
                  <w:tcW w:w="45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bCs/>
                      <w:color w:val="auto"/>
                      <w:sz w:val="20"/>
                      <w:szCs w:val="20"/>
                      <w:highlight w:val="none"/>
                    </w:rPr>
                  </w:pP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bCs/>
                      <w:color w:val="auto"/>
                      <w:sz w:val="20"/>
                      <w:szCs w:val="20"/>
                      <w:highlight w:val="none"/>
                    </w:rPr>
                  </w:pPr>
                  <w:r>
                    <w:rPr>
                      <w:rFonts w:hint="eastAsia" w:ascii="宋体" w:hAnsi="宋体" w:cs="宋体"/>
                      <w:b/>
                      <w:bCs/>
                      <w:color w:val="auto"/>
                      <w:sz w:val="20"/>
                      <w:szCs w:val="20"/>
                      <w:highlight w:val="none"/>
                      <w:lang w:bidi="ar"/>
                    </w:rPr>
                    <w:t>其 它 区 域</w:t>
                  </w:r>
                </w:p>
              </w:tc>
              <w:tc>
                <w:tcPr>
                  <w:tcW w:w="435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bCs/>
                      <w:color w:val="auto"/>
                      <w:sz w:val="20"/>
                      <w:szCs w:val="20"/>
                      <w:highlight w:val="none"/>
                    </w:rPr>
                  </w:pPr>
                </w:p>
              </w:tc>
              <w:tc>
                <w:tcPr>
                  <w:tcW w:w="107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 w:val="20"/>
                      <w:szCs w:val="20"/>
                      <w:highlight w:val="none"/>
                    </w:rPr>
                  </w:pP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p>
              </w:tc>
              <w:tc>
                <w:tcPr>
                  <w:tcW w:w="104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bCs/>
                      <w:color w:val="auto"/>
                      <w:sz w:val="20"/>
                      <w:szCs w:val="20"/>
                      <w:highlight w:val="none"/>
                    </w:rPr>
                  </w:pPr>
                </w:p>
              </w:tc>
              <w:tc>
                <w:tcPr>
                  <w:tcW w:w="6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2360" w:hRule="atLeast"/>
                <w:jc w:val="center"/>
              </w:trPr>
              <w:tc>
                <w:tcPr>
                  <w:tcW w:w="4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35</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不锈钢洗手设施</w:t>
                  </w:r>
                </w:p>
              </w:tc>
              <w:tc>
                <w:tcPr>
                  <w:tcW w:w="435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1.尺寸：600×550×850/1050mm</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2.规格：模压一次性成型不锈钢压花板台面、单槽、感应与膝控双模式控制出水、交直流通用、内配水温混水阀</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3.工艺：门为双层复合式无缝焊接</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4.材质：06Cr19Ni10标号的不锈钢（并符合GB/T 3280-2007的要求，镍金属含量不低于8%）</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5.主材规格：板材厚度≥1.0mm</w:t>
                  </w:r>
                </w:p>
              </w:tc>
              <w:tc>
                <w:tcPr>
                  <w:tcW w:w="107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套</w:t>
                  </w:r>
                </w:p>
              </w:tc>
              <w:tc>
                <w:tcPr>
                  <w:tcW w:w="104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5</w:t>
                  </w:r>
                </w:p>
              </w:tc>
              <w:tc>
                <w:tcPr>
                  <w:tcW w:w="6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560" w:hRule="atLeast"/>
                <w:jc w:val="center"/>
              </w:trPr>
              <w:tc>
                <w:tcPr>
                  <w:tcW w:w="4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36</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拖把池</w:t>
                  </w:r>
                </w:p>
              </w:tc>
              <w:tc>
                <w:tcPr>
                  <w:tcW w:w="435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1.尺寸：800×450×500mm</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2.规格：双层复合制作工艺</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3.材质：06Cr19Ni10标号的不锈钢（并符合GB/T 3280-2007的要求，镍金属含量不低于8%）</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4.主材规格：板材厚度≥1.0mm</w:t>
                  </w:r>
                </w:p>
              </w:tc>
              <w:tc>
                <w:tcPr>
                  <w:tcW w:w="107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套</w:t>
                  </w:r>
                </w:p>
              </w:tc>
              <w:tc>
                <w:tcPr>
                  <w:tcW w:w="104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w:t>
                  </w:r>
                </w:p>
              </w:tc>
              <w:tc>
                <w:tcPr>
                  <w:tcW w:w="6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2640" w:hRule="atLeast"/>
                <w:jc w:val="center"/>
              </w:trPr>
              <w:tc>
                <w:tcPr>
                  <w:tcW w:w="4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37</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拖把架</w:t>
                  </w:r>
                </w:p>
              </w:tc>
              <w:tc>
                <w:tcPr>
                  <w:tcW w:w="435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1.尺寸：1000×400×1600mm</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2.规格：移动式,带接水功能，可挂5-10只拖把</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3.工艺：管材电抛光处理，质感更强，更防腐</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4.材质：06Cr19Ni10标号的不锈钢（并符合GB/T 3280-2007的要求，镍金属含量不低于8%）</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5.主材规格：板材厚度≥1.0mm</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6.万向轮：φ75全ABS外罩双轴承，轮面 pu材质，防锈防卷发静音万向轮</w:t>
                  </w:r>
                </w:p>
              </w:tc>
              <w:tc>
                <w:tcPr>
                  <w:tcW w:w="107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套</w:t>
                  </w:r>
                </w:p>
              </w:tc>
              <w:tc>
                <w:tcPr>
                  <w:tcW w:w="104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w:t>
                  </w:r>
                </w:p>
              </w:tc>
              <w:tc>
                <w:tcPr>
                  <w:tcW w:w="6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285" w:hRule="atLeast"/>
                <w:jc w:val="center"/>
              </w:trPr>
              <w:tc>
                <w:tcPr>
                  <w:tcW w:w="4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4"/>
                      <w:szCs w:val="24"/>
                      <w:highlight w:val="none"/>
                    </w:rPr>
                  </w:pPr>
                </w:p>
              </w:tc>
              <w:tc>
                <w:tcPr>
                  <w:tcW w:w="514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bCs/>
                      <w:color w:val="auto"/>
                      <w:sz w:val="20"/>
                      <w:szCs w:val="20"/>
                      <w:highlight w:val="none"/>
                    </w:rPr>
                  </w:pPr>
                  <w:r>
                    <w:rPr>
                      <w:rFonts w:hint="eastAsia" w:ascii="宋体" w:hAnsi="宋体" w:cs="宋体"/>
                      <w:b/>
                      <w:bCs/>
                      <w:color w:val="auto"/>
                      <w:sz w:val="20"/>
                      <w:szCs w:val="20"/>
                      <w:highlight w:val="none"/>
                      <w:lang w:bidi="ar"/>
                    </w:rPr>
                    <w:t>合计</w:t>
                  </w:r>
                </w:p>
              </w:tc>
              <w:tc>
                <w:tcPr>
                  <w:tcW w:w="107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 w:val="24"/>
                      <w:szCs w:val="24"/>
                      <w:highlight w:val="none"/>
                    </w:rPr>
                  </w:pP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auto"/>
                      <w:sz w:val="24"/>
                      <w:szCs w:val="24"/>
                      <w:highlight w:val="none"/>
                    </w:rPr>
                  </w:pPr>
                </w:p>
              </w:tc>
              <w:tc>
                <w:tcPr>
                  <w:tcW w:w="10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auto"/>
                      <w:sz w:val="24"/>
                      <w:szCs w:val="24"/>
                      <w:highlight w:val="none"/>
                    </w:rPr>
                  </w:pPr>
                </w:p>
              </w:tc>
              <w:tc>
                <w:tcPr>
                  <w:tcW w:w="6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auto"/>
                      <w:sz w:val="24"/>
                      <w:szCs w:val="24"/>
                      <w:highlight w:val="none"/>
                    </w:rPr>
                  </w:pPr>
                </w:p>
              </w:tc>
            </w:tr>
          </w:tbl>
          <w:p>
            <w:pPr>
              <w:pStyle w:val="3"/>
              <w:rPr>
                <w:color w:val="auto"/>
                <w:highlight w:val="none"/>
              </w:rPr>
            </w:pPr>
          </w:p>
        </w:tc>
        <w:tc>
          <w:tcPr>
            <w:tcW w:w="8535" w:type="dxa"/>
            <w:tcBorders>
              <w:top w:val="nil"/>
              <w:left w:val="nil"/>
              <w:bottom w:val="nil"/>
              <w:right w:val="nil"/>
            </w:tcBorders>
            <w:noWrap/>
            <w:vAlign w:val="center"/>
          </w:tcPr>
          <w:p>
            <w:pPr>
              <w:pStyle w:val="3"/>
              <w:rPr>
                <w:color w:val="auto"/>
                <w:highlight w:val="none"/>
              </w:rPr>
            </w:pPr>
          </w:p>
        </w:tc>
      </w:tr>
    </w:tbl>
    <w:p>
      <w:pPr>
        <w:rPr>
          <w:rFonts w:ascii="宋体" w:hAnsi="宋体"/>
          <w:color w:val="auto"/>
          <w:highlight w:val="none"/>
        </w:rPr>
      </w:pPr>
    </w:p>
    <w:p>
      <w:pPr>
        <w:pStyle w:val="2"/>
        <w:rPr>
          <w:rFonts w:ascii="宋体" w:hAnsi="宋体"/>
          <w:color w:val="auto"/>
          <w:highlight w:val="none"/>
        </w:rPr>
      </w:pPr>
    </w:p>
    <w:p>
      <w:pPr>
        <w:rPr>
          <w:rFonts w:ascii="宋体" w:hAnsi="宋体"/>
          <w:color w:val="auto"/>
          <w:highlight w:val="none"/>
        </w:rPr>
      </w:pPr>
    </w:p>
    <w:p>
      <w:pPr>
        <w:pStyle w:val="2"/>
        <w:rPr>
          <w:rFonts w:ascii="宋体" w:hAnsi="宋体"/>
          <w:color w:val="auto"/>
          <w:highlight w:val="none"/>
        </w:rPr>
      </w:pPr>
    </w:p>
    <w:p>
      <w:pPr>
        <w:rPr>
          <w:rFonts w:ascii="宋体" w:hAnsi="宋体"/>
          <w:color w:val="auto"/>
          <w:highlight w:val="none"/>
        </w:rPr>
      </w:pPr>
    </w:p>
    <w:p>
      <w:pPr>
        <w:pStyle w:val="2"/>
        <w:rPr>
          <w:rFonts w:ascii="宋体" w:hAnsi="宋体"/>
          <w:color w:val="auto"/>
          <w:highlight w:val="none"/>
        </w:rPr>
      </w:pPr>
    </w:p>
    <w:p>
      <w:pPr>
        <w:rPr>
          <w:rFonts w:ascii="宋体" w:hAnsi="宋体"/>
          <w:color w:val="auto"/>
          <w:highlight w:val="none"/>
        </w:rPr>
      </w:pPr>
    </w:p>
    <w:p>
      <w:pPr>
        <w:pStyle w:val="2"/>
        <w:rPr>
          <w:rFonts w:ascii="宋体" w:hAnsi="宋体"/>
          <w:color w:val="auto"/>
          <w:highlight w:val="none"/>
        </w:rPr>
      </w:pPr>
    </w:p>
    <w:p>
      <w:pPr>
        <w:rPr>
          <w:rFonts w:ascii="宋体" w:hAnsi="宋体"/>
          <w:color w:val="auto"/>
          <w:highlight w:val="none"/>
        </w:rPr>
      </w:pPr>
    </w:p>
    <w:p>
      <w:pPr>
        <w:pStyle w:val="2"/>
        <w:rPr>
          <w:rFonts w:ascii="宋体" w:hAnsi="宋体"/>
          <w:color w:val="auto"/>
          <w:highlight w:val="none"/>
        </w:rPr>
      </w:pPr>
    </w:p>
    <w:p>
      <w:pPr>
        <w:rPr>
          <w:rFonts w:ascii="宋体" w:hAnsi="宋体"/>
          <w:color w:val="auto"/>
          <w:highlight w:val="none"/>
        </w:rPr>
      </w:pPr>
    </w:p>
    <w:p>
      <w:pPr>
        <w:pStyle w:val="2"/>
        <w:rPr>
          <w:rFonts w:ascii="宋体" w:hAnsi="宋体"/>
          <w:color w:val="auto"/>
          <w:highlight w:val="none"/>
        </w:rPr>
      </w:pPr>
    </w:p>
    <w:p>
      <w:pPr>
        <w:pStyle w:val="2"/>
        <w:ind w:firstLine="0" w:firstLineChars="0"/>
      </w:pPr>
    </w:p>
    <w:tbl>
      <w:tblPr>
        <w:tblStyle w:val="27"/>
        <w:tblW w:w="9613" w:type="dxa"/>
        <w:tblInd w:w="93" w:type="dxa"/>
        <w:tblLayout w:type="fixed"/>
        <w:tblCellMar>
          <w:top w:w="0" w:type="dxa"/>
          <w:left w:w="108" w:type="dxa"/>
          <w:bottom w:w="0" w:type="dxa"/>
          <w:right w:w="108" w:type="dxa"/>
        </w:tblCellMar>
      </w:tblPr>
      <w:tblGrid>
        <w:gridCol w:w="9613"/>
      </w:tblGrid>
      <w:tr>
        <w:tblPrEx>
          <w:tblCellMar>
            <w:top w:w="0" w:type="dxa"/>
            <w:left w:w="108" w:type="dxa"/>
            <w:bottom w:w="0" w:type="dxa"/>
            <w:right w:w="108" w:type="dxa"/>
          </w:tblCellMar>
        </w:tblPrEx>
        <w:trPr>
          <w:trHeight w:val="672" w:hRule="atLeast"/>
        </w:trPr>
        <w:tc>
          <w:tcPr>
            <w:tcW w:w="9613" w:type="dxa"/>
            <w:tcBorders>
              <w:top w:val="nil"/>
              <w:left w:val="nil"/>
              <w:bottom w:val="nil"/>
              <w:right w:val="nil"/>
            </w:tcBorders>
            <w:vAlign w:val="center"/>
          </w:tcPr>
          <w:p>
            <w:pPr>
              <w:rPr>
                <w:color w:val="auto"/>
                <w:highlight w:val="none"/>
              </w:rPr>
            </w:pPr>
          </w:p>
          <w:p>
            <w:pPr>
              <w:rPr>
                <w:vanish/>
                <w:color w:val="auto"/>
                <w:highlight w:val="none"/>
              </w:rPr>
            </w:pPr>
          </w:p>
          <w:tbl>
            <w:tblPr>
              <w:tblStyle w:val="27"/>
              <w:tblW w:w="8793" w:type="dxa"/>
              <w:tblInd w:w="93" w:type="dxa"/>
              <w:tblLayout w:type="fixed"/>
              <w:tblCellMar>
                <w:top w:w="0" w:type="dxa"/>
                <w:left w:w="108" w:type="dxa"/>
                <w:bottom w:w="0" w:type="dxa"/>
                <w:right w:w="108" w:type="dxa"/>
              </w:tblCellMar>
            </w:tblPr>
            <w:tblGrid>
              <w:gridCol w:w="8793"/>
            </w:tblGrid>
            <w:tr>
              <w:tblPrEx>
                <w:tblCellMar>
                  <w:top w:w="0" w:type="dxa"/>
                  <w:left w:w="108" w:type="dxa"/>
                  <w:bottom w:w="0" w:type="dxa"/>
                  <w:right w:w="108" w:type="dxa"/>
                </w:tblCellMar>
              </w:tblPrEx>
              <w:trPr>
                <w:trHeight w:val="405" w:hRule="atLeast"/>
              </w:trPr>
              <w:tc>
                <w:tcPr>
                  <w:tcW w:w="8793" w:type="dxa"/>
                  <w:tcBorders>
                    <w:top w:val="nil"/>
                    <w:left w:val="nil"/>
                    <w:bottom w:val="nil"/>
                    <w:right w:val="nil"/>
                  </w:tcBorders>
                  <w:vAlign w:val="center"/>
                </w:tcPr>
                <w:p>
                  <w:pPr>
                    <w:widowControl/>
                    <w:jc w:val="center"/>
                    <w:textAlignment w:val="center"/>
                    <w:rPr>
                      <w:rFonts w:ascii="宋体" w:hAnsi="宋体" w:cs="宋体"/>
                      <w:b/>
                      <w:bCs/>
                      <w:color w:val="auto"/>
                      <w:sz w:val="32"/>
                      <w:szCs w:val="32"/>
                      <w:highlight w:val="none"/>
                    </w:rPr>
                  </w:pPr>
                  <w:r>
                    <w:rPr>
                      <w:rFonts w:hint="eastAsia" w:ascii="宋体" w:hAnsi="宋体" w:cs="宋体"/>
                      <w:b/>
                      <w:bCs/>
                      <w:color w:val="auto"/>
                      <w:sz w:val="32"/>
                      <w:szCs w:val="32"/>
                      <w:highlight w:val="none"/>
                      <w:lang w:bidi="ar"/>
                    </w:rPr>
                    <w:t>空调专项工程清单</w:t>
                  </w:r>
                </w:p>
              </w:tc>
            </w:tr>
          </w:tbl>
          <w:p>
            <w:pPr>
              <w:pStyle w:val="3"/>
              <w:rPr>
                <w:color w:val="auto"/>
                <w:highlight w:val="none"/>
              </w:rPr>
            </w:pPr>
          </w:p>
        </w:tc>
      </w:tr>
      <w:tr>
        <w:tblPrEx>
          <w:tblCellMar>
            <w:top w:w="0" w:type="dxa"/>
            <w:left w:w="108" w:type="dxa"/>
            <w:bottom w:w="0" w:type="dxa"/>
            <w:right w:w="108" w:type="dxa"/>
          </w:tblCellMar>
        </w:tblPrEx>
        <w:trPr>
          <w:trHeight w:val="435" w:hRule="atLeast"/>
        </w:trPr>
        <w:tc>
          <w:tcPr>
            <w:tcW w:w="9613" w:type="dxa"/>
            <w:tcBorders>
              <w:top w:val="nil"/>
              <w:left w:val="nil"/>
              <w:bottom w:val="nil"/>
              <w:right w:val="nil"/>
            </w:tcBorders>
            <w:vAlign w:val="center"/>
          </w:tcPr>
          <w:tbl>
            <w:tblPr>
              <w:tblStyle w:val="27"/>
              <w:tblW w:w="9369" w:type="dxa"/>
              <w:jc w:val="center"/>
              <w:tblLayout w:type="fixed"/>
              <w:tblCellMar>
                <w:top w:w="0" w:type="dxa"/>
                <w:left w:w="108" w:type="dxa"/>
                <w:bottom w:w="0" w:type="dxa"/>
                <w:right w:w="108" w:type="dxa"/>
              </w:tblCellMar>
            </w:tblPr>
            <w:tblGrid>
              <w:gridCol w:w="390"/>
              <w:gridCol w:w="915"/>
              <w:gridCol w:w="4799"/>
              <w:gridCol w:w="1055"/>
              <w:gridCol w:w="625"/>
              <w:gridCol w:w="949"/>
              <w:gridCol w:w="636"/>
            </w:tblGrid>
            <w:tr>
              <w:tblPrEx>
                <w:tblCellMar>
                  <w:top w:w="0" w:type="dxa"/>
                  <w:left w:w="108" w:type="dxa"/>
                  <w:bottom w:w="0" w:type="dxa"/>
                  <w:right w:w="108" w:type="dxa"/>
                </w:tblCellMar>
              </w:tblPrEx>
              <w:trPr>
                <w:trHeight w:val="342" w:hRule="atLeast"/>
                <w:jc w:val="center"/>
              </w:trPr>
              <w:tc>
                <w:tcPr>
                  <w:tcW w:w="39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bCs/>
                      <w:color w:val="auto"/>
                      <w:sz w:val="20"/>
                      <w:szCs w:val="20"/>
                      <w:highlight w:val="none"/>
                    </w:rPr>
                  </w:pPr>
                  <w:r>
                    <w:rPr>
                      <w:rFonts w:hint="eastAsia" w:ascii="宋体" w:hAnsi="宋体" w:cs="宋体"/>
                      <w:b/>
                      <w:bCs/>
                      <w:color w:val="auto"/>
                      <w:sz w:val="20"/>
                      <w:szCs w:val="20"/>
                      <w:highlight w:val="none"/>
                      <w:lang w:bidi="ar"/>
                    </w:rPr>
                    <w:t>序号</w:t>
                  </w:r>
                </w:p>
              </w:tc>
              <w:tc>
                <w:tcPr>
                  <w:tcW w:w="91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b/>
                      <w:bCs/>
                      <w:color w:val="auto"/>
                      <w:sz w:val="20"/>
                      <w:szCs w:val="20"/>
                      <w:highlight w:val="none"/>
                    </w:rPr>
                  </w:pPr>
                  <w:r>
                    <w:rPr>
                      <w:rFonts w:hint="eastAsia" w:ascii="宋体" w:hAnsi="宋体" w:cs="宋体"/>
                      <w:b/>
                      <w:bCs/>
                      <w:color w:val="auto"/>
                      <w:sz w:val="20"/>
                      <w:szCs w:val="20"/>
                      <w:highlight w:val="none"/>
                      <w:lang w:bidi="ar"/>
                    </w:rPr>
                    <w:t>设备.材料名称</w:t>
                  </w:r>
                </w:p>
              </w:tc>
              <w:tc>
                <w:tcPr>
                  <w:tcW w:w="479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bCs/>
                      <w:color w:val="auto"/>
                      <w:sz w:val="20"/>
                      <w:szCs w:val="20"/>
                      <w:highlight w:val="none"/>
                    </w:rPr>
                  </w:pPr>
                  <w:r>
                    <w:rPr>
                      <w:rFonts w:hint="eastAsia" w:ascii="宋体" w:hAnsi="宋体" w:cs="宋体"/>
                      <w:b/>
                      <w:bCs/>
                      <w:color w:val="auto"/>
                      <w:sz w:val="20"/>
                      <w:szCs w:val="20"/>
                      <w:highlight w:val="none"/>
                      <w:lang w:bidi="ar"/>
                    </w:rPr>
                    <w:t>规格/型号</w:t>
                  </w:r>
                </w:p>
              </w:tc>
              <w:tc>
                <w:tcPr>
                  <w:tcW w:w="105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bCs/>
                      <w:color w:val="auto"/>
                      <w:sz w:val="20"/>
                      <w:szCs w:val="20"/>
                      <w:highlight w:val="none"/>
                    </w:rPr>
                  </w:pPr>
                  <w:r>
                    <w:rPr>
                      <w:rFonts w:hint="eastAsia" w:ascii="宋体" w:hAnsi="宋体" w:cs="宋体"/>
                      <w:b/>
                      <w:bCs/>
                      <w:color w:val="auto"/>
                      <w:sz w:val="20"/>
                      <w:szCs w:val="20"/>
                      <w:highlight w:val="none"/>
                      <w:lang w:val="en-US" w:eastAsia="zh-CN" w:bidi="ar"/>
                    </w:rPr>
                    <w:t>推荐</w:t>
                  </w:r>
                  <w:r>
                    <w:rPr>
                      <w:rFonts w:hint="eastAsia" w:ascii="宋体" w:hAnsi="宋体" w:cs="宋体"/>
                      <w:b/>
                      <w:bCs/>
                      <w:color w:val="auto"/>
                      <w:sz w:val="20"/>
                      <w:szCs w:val="20"/>
                      <w:highlight w:val="none"/>
                      <w:lang w:bidi="ar"/>
                    </w:rPr>
                    <w:t>品牌</w:t>
                  </w:r>
                </w:p>
              </w:tc>
              <w:tc>
                <w:tcPr>
                  <w:tcW w:w="62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bCs/>
                      <w:color w:val="auto"/>
                      <w:sz w:val="20"/>
                      <w:szCs w:val="20"/>
                      <w:highlight w:val="none"/>
                    </w:rPr>
                  </w:pPr>
                  <w:r>
                    <w:rPr>
                      <w:rFonts w:hint="eastAsia" w:ascii="宋体" w:hAnsi="宋体" w:cs="宋体"/>
                      <w:b/>
                      <w:bCs/>
                      <w:color w:val="auto"/>
                      <w:sz w:val="20"/>
                      <w:szCs w:val="20"/>
                      <w:highlight w:val="none"/>
                      <w:lang w:bidi="ar"/>
                    </w:rPr>
                    <w:t>单位</w:t>
                  </w:r>
                </w:p>
              </w:tc>
              <w:tc>
                <w:tcPr>
                  <w:tcW w:w="94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bCs/>
                      <w:color w:val="auto"/>
                      <w:sz w:val="20"/>
                      <w:szCs w:val="20"/>
                      <w:highlight w:val="none"/>
                    </w:rPr>
                  </w:pPr>
                  <w:r>
                    <w:rPr>
                      <w:rFonts w:hint="eastAsia" w:ascii="宋体" w:hAnsi="宋体" w:cs="宋体"/>
                      <w:b/>
                      <w:bCs/>
                      <w:color w:val="auto"/>
                      <w:sz w:val="20"/>
                      <w:szCs w:val="20"/>
                      <w:highlight w:val="none"/>
                      <w:lang w:bidi="ar"/>
                    </w:rPr>
                    <w:t>工程量合计</w:t>
                  </w:r>
                </w:p>
              </w:tc>
              <w:tc>
                <w:tcPr>
                  <w:tcW w:w="636"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b/>
                      <w:bCs/>
                      <w:color w:val="auto"/>
                      <w:sz w:val="20"/>
                      <w:szCs w:val="20"/>
                      <w:highlight w:val="none"/>
                    </w:rPr>
                  </w:pPr>
                  <w:r>
                    <w:rPr>
                      <w:rFonts w:hint="eastAsia" w:ascii="宋体" w:hAnsi="宋体" w:cs="宋体"/>
                      <w:b/>
                      <w:bCs/>
                      <w:color w:val="auto"/>
                      <w:sz w:val="20"/>
                      <w:szCs w:val="20"/>
                      <w:highlight w:val="none"/>
                      <w:lang w:bidi="ar"/>
                    </w:rPr>
                    <w:t>备注</w:t>
                  </w:r>
                </w:p>
              </w:tc>
            </w:tr>
            <w:tr>
              <w:tblPrEx>
                <w:tblCellMar>
                  <w:top w:w="0" w:type="dxa"/>
                  <w:left w:w="108" w:type="dxa"/>
                  <w:bottom w:w="0" w:type="dxa"/>
                  <w:right w:w="108" w:type="dxa"/>
                </w:tblCellMar>
              </w:tblPrEx>
              <w:trPr>
                <w:trHeight w:val="399" w:hRule="atLeast"/>
                <w:jc w:val="center"/>
              </w:trPr>
              <w:tc>
                <w:tcPr>
                  <w:tcW w:w="39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bCs/>
                      <w:color w:val="auto"/>
                      <w:sz w:val="20"/>
                      <w:szCs w:val="20"/>
                      <w:highlight w:val="none"/>
                    </w:rPr>
                  </w:pPr>
                </w:p>
              </w:tc>
              <w:tc>
                <w:tcPr>
                  <w:tcW w:w="91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b/>
                      <w:bCs/>
                      <w:color w:val="auto"/>
                      <w:sz w:val="20"/>
                      <w:szCs w:val="20"/>
                      <w:highlight w:val="none"/>
                    </w:rPr>
                  </w:pPr>
                </w:p>
              </w:tc>
              <w:tc>
                <w:tcPr>
                  <w:tcW w:w="47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bCs/>
                      <w:color w:val="auto"/>
                      <w:sz w:val="20"/>
                      <w:szCs w:val="20"/>
                      <w:highlight w:val="none"/>
                    </w:rPr>
                  </w:pPr>
                </w:p>
              </w:tc>
              <w:tc>
                <w:tcPr>
                  <w:tcW w:w="105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bCs/>
                      <w:color w:val="auto"/>
                      <w:sz w:val="20"/>
                      <w:szCs w:val="20"/>
                      <w:highlight w:val="none"/>
                    </w:rPr>
                  </w:pPr>
                </w:p>
              </w:tc>
              <w:tc>
                <w:tcPr>
                  <w:tcW w:w="62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bCs/>
                      <w:color w:val="auto"/>
                      <w:sz w:val="20"/>
                      <w:szCs w:val="20"/>
                      <w:highlight w:val="none"/>
                    </w:rPr>
                  </w:pPr>
                </w:p>
              </w:tc>
              <w:tc>
                <w:tcPr>
                  <w:tcW w:w="9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bCs/>
                      <w:color w:val="auto"/>
                      <w:sz w:val="20"/>
                      <w:szCs w:val="20"/>
                      <w:highlight w:val="none"/>
                    </w:rPr>
                  </w:pPr>
                </w:p>
              </w:tc>
              <w:tc>
                <w:tcPr>
                  <w:tcW w:w="63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b/>
                      <w:bCs/>
                      <w:color w:val="auto"/>
                      <w:sz w:val="20"/>
                      <w:szCs w:val="20"/>
                      <w:highlight w:val="none"/>
                    </w:rPr>
                  </w:pPr>
                </w:p>
              </w:tc>
            </w:tr>
            <w:tr>
              <w:tblPrEx>
                <w:tblCellMar>
                  <w:top w:w="0" w:type="dxa"/>
                  <w:left w:w="108" w:type="dxa"/>
                  <w:bottom w:w="0" w:type="dxa"/>
                  <w:right w:w="108" w:type="dxa"/>
                </w:tblCellMar>
              </w:tblPrEx>
              <w:trPr>
                <w:trHeight w:val="540" w:hRule="atLeast"/>
                <w:jc w:val="center"/>
              </w:trPr>
              <w:tc>
                <w:tcPr>
                  <w:tcW w:w="39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bCs/>
                      <w:color w:val="auto"/>
                      <w:sz w:val="20"/>
                      <w:szCs w:val="20"/>
                      <w:highlight w:val="none"/>
                    </w:rPr>
                  </w:pPr>
                </w:p>
              </w:tc>
              <w:tc>
                <w:tcPr>
                  <w:tcW w:w="91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b/>
                      <w:bCs/>
                      <w:color w:val="auto"/>
                      <w:sz w:val="20"/>
                      <w:szCs w:val="20"/>
                      <w:highlight w:val="none"/>
                    </w:rPr>
                  </w:pPr>
                </w:p>
              </w:tc>
              <w:tc>
                <w:tcPr>
                  <w:tcW w:w="47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bCs/>
                      <w:color w:val="auto"/>
                      <w:sz w:val="20"/>
                      <w:szCs w:val="20"/>
                      <w:highlight w:val="none"/>
                    </w:rPr>
                  </w:pPr>
                </w:p>
              </w:tc>
              <w:tc>
                <w:tcPr>
                  <w:tcW w:w="105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bCs/>
                      <w:color w:val="auto"/>
                      <w:sz w:val="20"/>
                      <w:szCs w:val="20"/>
                      <w:highlight w:val="none"/>
                    </w:rPr>
                  </w:pPr>
                </w:p>
              </w:tc>
              <w:tc>
                <w:tcPr>
                  <w:tcW w:w="62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bCs/>
                      <w:color w:val="auto"/>
                      <w:sz w:val="20"/>
                      <w:szCs w:val="20"/>
                      <w:highlight w:val="none"/>
                    </w:rPr>
                  </w:pPr>
                </w:p>
              </w:tc>
              <w:tc>
                <w:tcPr>
                  <w:tcW w:w="9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bCs/>
                      <w:color w:val="auto"/>
                      <w:sz w:val="20"/>
                      <w:szCs w:val="20"/>
                      <w:highlight w:val="none"/>
                    </w:rPr>
                  </w:pPr>
                </w:p>
              </w:tc>
              <w:tc>
                <w:tcPr>
                  <w:tcW w:w="63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b/>
                      <w:bCs/>
                      <w:color w:val="auto"/>
                      <w:sz w:val="20"/>
                      <w:szCs w:val="20"/>
                      <w:highlight w:val="none"/>
                    </w:rPr>
                  </w:pPr>
                </w:p>
              </w:tc>
            </w:tr>
            <w:tr>
              <w:tblPrEx>
                <w:tblCellMar>
                  <w:top w:w="0" w:type="dxa"/>
                  <w:left w:w="108" w:type="dxa"/>
                  <w:bottom w:w="0" w:type="dxa"/>
                  <w:right w:w="108" w:type="dxa"/>
                </w:tblCellMar>
              </w:tblPrEx>
              <w:trPr>
                <w:trHeight w:val="342" w:hRule="atLeast"/>
                <w:jc w:val="center"/>
              </w:trPr>
              <w:tc>
                <w:tcPr>
                  <w:tcW w:w="7784"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 w:val="20"/>
                      <w:szCs w:val="20"/>
                      <w:highlight w:val="none"/>
                    </w:rPr>
                  </w:pPr>
                </w:p>
              </w:tc>
              <w:tc>
                <w:tcPr>
                  <w:tcW w:w="9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auto"/>
                      <w:sz w:val="20"/>
                      <w:szCs w:val="20"/>
                      <w:highlight w:val="none"/>
                    </w:rPr>
                  </w:pP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519"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bCs/>
                      <w:color w:val="auto"/>
                      <w:sz w:val="20"/>
                      <w:szCs w:val="20"/>
                      <w:highlight w:val="none"/>
                    </w:rPr>
                  </w:pPr>
                  <w:r>
                    <w:rPr>
                      <w:rFonts w:hint="eastAsia" w:ascii="宋体" w:hAnsi="宋体" w:cs="宋体"/>
                      <w:b/>
                      <w:bCs/>
                      <w:color w:val="auto"/>
                      <w:sz w:val="20"/>
                      <w:szCs w:val="20"/>
                      <w:highlight w:val="none"/>
                      <w:lang w:bidi="ar"/>
                    </w:rPr>
                    <w:t>一</w:t>
                  </w:r>
                </w:p>
              </w:tc>
              <w:tc>
                <w:tcPr>
                  <w:tcW w:w="571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 w:val="20"/>
                      <w:szCs w:val="20"/>
                      <w:highlight w:val="none"/>
                    </w:rPr>
                  </w:pPr>
                  <w:r>
                    <w:rPr>
                      <w:rFonts w:hint="eastAsia" w:ascii="宋体" w:hAnsi="宋体" w:cs="宋体"/>
                      <w:b/>
                      <w:bCs/>
                      <w:color w:val="auto"/>
                      <w:sz w:val="20"/>
                      <w:szCs w:val="20"/>
                      <w:highlight w:val="none"/>
                      <w:lang w:bidi="ar"/>
                    </w:rPr>
                    <w:t>机组设备</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 w:val="20"/>
                      <w:szCs w:val="20"/>
                      <w:highlight w:val="none"/>
                    </w:rPr>
                  </w:pP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 w:val="20"/>
                      <w:szCs w:val="20"/>
                      <w:highlight w:val="none"/>
                    </w:rPr>
                  </w:pPr>
                </w:p>
              </w:tc>
              <w:tc>
                <w:tcPr>
                  <w:tcW w:w="9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auto"/>
                      <w:sz w:val="20"/>
                      <w:szCs w:val="20"/>
                      <w:highlight w:val="none"/>
                    </w:rPr>
                  </w:pP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2718"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净化循环空调机组AHU-S-401</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 xml:space="preserve">1.名称：净化循环空调机组AHU-S-401  </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2.规格：总风量4600m3/h 新风量900m3/h 机外静压650PA电机功率4KW 噪声&lt;85db ( A ) ；</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过滤器：G4+F7；</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水系统：四管制；制冷量：15kw，制热量：17kw；</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3.隔振垫(器)、支架形式、材质：加厚型橡胶减震垫</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4.安装形式：落地安装</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5.电机检查接线、单体调试、系统调试</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6.混凝土基础</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天加、雅士、清华同方</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2718"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净化循环空调机组AHU-S-402</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1.名称：净化循环空调机组AHU-S-402</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2.规格：总风量4600m3/h 新风量900m3/h 机外静压650PA电机功率4KW 噪声&lt;85db ( A ) ；</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过滤器：G4+F7；</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水系统：四管制；制冷量：15kw，制热量：17kw；</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3.隔振垫(器)、支架形式、材质：加厚型橡胶减震垫</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4.安装形式：落地安装</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5.电机检查接线、单体调试、系统调试</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6.混凝土基础</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天加、雅士、清华同方</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312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3</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净化循环空调机组AHU-S-403</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1.名称：净化循环空调机组AHU-S-403</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2.规格：总风量4600m3/h 新风量900m3/h 机外静压650PA电机功率4KW 噪声&lt;85db ( A ) ；</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过滤器：G4+F7；</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水系统：四管制；制冷量：15kw，制热量：17kw；</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3.隔振垫(器)、支架形式、材质：加厚型橡胶减震垫</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4.安装形式：落地安装</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5.电机检查接线、单体调试、系统调试</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6.混凝土基础</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天加、雅士、清华同方</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261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4</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净化循环空调机组AHU-S-404</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1.名称：净化循环空调机组AHU-S-404</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2.规格：风量：总风量3200m3/h 新风量1400m3/h 机外静压650PA 电机功率3KW 噪声&lt;85db ( A ) ；</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过滤器：G4+F7；</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水系统：四管制；制冷量：11kw，制热量：12kw；</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3.隔振垫(器)、支架形式、材质：加厚型橡胶减震垫</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4.安装形式：落地安装</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5.电机检查接线、单体调试、系统调试</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6.混凝土基础</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天加、雅士、清华同方</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287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5</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净化循环空调机组AHU-S-405</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1.名称：净化循环空调机组AHU-S-405</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2.规格：风量：总风量12000m3/h 新风量1200m3/h 机外静压650PA 电机功率11KW 噪声&lt;85db ( A ) ；</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过滤器：G4+F7；</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水系统：四管制；制冷量：40kw，制热量：44kw；</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3.隔振垫(器)、支架形式、材质：加厚型橡胶减震垫</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4.安装形式：落地安装</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5.电机检查接线、单体调试、系统调试</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6.混凝土基础</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天加、雅士、清华同方</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2922"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6</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净化循环空调机组AHU-S-406</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1.名称：净化循环空调机组AHU-S-406</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2.规格：风量：总风量3600m3/h 新风量1600m3/h 机外静压650PA 电机功率3.0KW 噪声&lt;85db ( A ) ；</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过滤器：G4+F7；</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水系统：四管制；制冷量：11kw，制热量：13kw；</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3.隔振垫(器)、支架形式、材质：加厚型橡胶减震垫</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4.安装形式：落地安装</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5.电机检查接线、单体调试、系统调试</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6.混凝土基础</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天加、雅士、清华同方</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9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7</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净化循环空调机组AHU-S-407</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1.名称：净化循环空调机组AHU-S-407</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2.规格：风量：总风量3600m3/h 新风量1600m3/h 机外静压650PA 电机功率3.0KW 噪声&lt;85db ( A ) ；</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过滤器：G4+F7；</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水系统：四管制；制冷量：11kw，制热量：13kw；</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3.隔振垫(器)、支架形式、材质：加厚型橡胶减震垫</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4.安装形式：落地安装</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5.电机检查接线、单体调试、系统调试</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6.混凝土基础</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天加、雅士、清华同方</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9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8</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净化循环空调机组AHU-S-408</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 xml:space="preserve">1.名称：净化循环空调机组AHU-S-408 </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2.规格：总风量4200m3/h 新风量1600m3/h 机外静压650PA 电机功率4KW 噪声&lt;85db ( A ) ；</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过滤器：G4+F7；</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水系统：四管制；制冷量：13kw，制热量：15kw；</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3.隔振垫(器)、支架形式、材质：加厚型橡胶减震垫</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4.安装形式：落地安装</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5.电机检查接线、单体调试、系统调试</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6.混凝土基础</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天加、雅士、清华同方</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2695"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9</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净化循环空调机组AHU-S-409</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1.名称：净化循环空调机组AHU-S-409</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2.规格：总风量4100m3/h 新风量1600m3/h 机外静压650PA 电机功率4KW 噪声&lt;85db ( A ) ；</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过滤器：G4+F7；</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水系统：四管制；制冷量：13kw，制热量：15kw；</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3.隔振垫(器)、支架形式、材质：加厚型橡胶减震垫</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4.安装形式：落地安装</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5.电机检查接线、单体调试、系统调试</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6.混凝土基础</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天加、雅士、清华同方</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2703"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10</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净化循环空调机组AHU-S-410</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1.名称：净化循环空调机组AHU-S-410</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2.规格：总风量5800m3/h 新风量2700m3/h 机外静压650PA 电机功率4KW 噪声&lt;85db ( A ) ；</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过滤器：G4+F7；</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水系统：四管制；制冷量：18kw，制热量：22kw；</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3.隔振垫(器)、支架形式、材质：加厚型橡胶减震垫</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4.安装形式：落地安装</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5.电机检查接线、单体调试、系统调试</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6.混凝土基础</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天加、雅士、清华同方</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2743"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11</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净化循环空调机组AHU-S-411</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1.名称：净化循环空调机组AHU-S-411</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2.规格：总风量5600m3/h 新风量2700m3/h 机外静压650PA 电机功率4KW 噪声&lt;85db ( A ) ；</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过滤器：G4+F7；</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水系统：四管制；制冷量：18kw，制热量：22kw；</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3.隔振垫(器)、支架形式、材质：加厚型橡胶减震垫</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4.安装形式：落地安装</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5.电机检查接线、单体调试、系统调试</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6.混凝土基础</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天加、雅士、清华同方</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2705"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12</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净化循环空调机组AHU-S-412</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1.名称：净化循环空调机组AHU-S-412</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2.规格：总风量7200m3/h 新风量2400m3/h 机外静压700PA 电机功率5.5KW 噪声&lt;85db ( A ) ；</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过滤器：G4+F7；</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水系统：四管制；制冷量：24kw，制热量：26kw；</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3.隔振垫(器)、支架形式、材质：加厚型橡胶减震垫</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4.安装形式：落地安装</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5.电机检查接线、单体调试、系统调试</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6.混凝土基础</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天加、雅士、清华同方</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257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13</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净化循环空调机组AHU-S-413</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1.名称：净化循环空调机组AHU-S-413</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2.规格：总风量19500m3/h 新风量5000m3/h 机外静压800PA 电机功率15KW 噪声&lt;85db ( A ) ；</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过滤器：G4+F7；</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水系统：四管制；制冷量：64kw，制热量：72kw；</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3.隔振垫(器)、支架形式、材质：加厚型橡胶减震垫</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4.安装形式：落地安装</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5.电机检查接线、单体调试、系统调试</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6.混凝土基础</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天加、雅士、清华同方</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2712"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14</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净化循环空调机组AHU-S-414</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1.名称：净化循环空调机组AHU-S-414</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2.规格：总风量14000m3/h 新风量4000m3/h 机外静压650PA 电机功率11KW 噪声&lt;85db ( A ) ；</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过滤器：G4+F7；</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水系统：四管制；制冷量：46kw，制热量：51kw；</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3.隔振垫(器)、支架形式、材质：加厚型橡胶减震垫</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4.安装形式：落地安装</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5.电机检查接线、单体调试、系统调试</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6.混凝土基础</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天加、雅士、清华同方</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9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15</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净化循环空调机组AHU-S-415</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1.名称：净化循环空调机组AHU-S-415</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2.规格：风量：总风量10900m3/h 新风量3500m3/h 机外静压700PA 电机功率7.5KW 噪声&lt;85db ( A ) ；</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过滤器：G4+F7；</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水系统：四管制；制冷量：36kw，制热量：40kw；</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3.隔振垫(器)、支架形式、材质：加厚型橡胶减震垫</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4.安装形式：落地安装</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5.电机检查接线、单体调试、系统调试</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6.混凝土基础</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天加、雅士、清华同方</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2645"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16</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净化循环空调机组AHU-S-416</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1.名称：净化循环空调机组AHU-S-416</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2.规格：总风量9100m3/h 新风量4000m3/h机 外静压800PA 电机功率7.5KW 噪声&lt;85db ( A ) ；</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过滤器：G4+F7；</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水系统：四管制；制冷量：30kw，制热量：33kw；</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3.隔振垫(器)、支架形式、材质：加厚型橡胶减震垫</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4.安装形式：落地安装</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5.电机检查接线、单体调试、系统调试</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6.混凝土基础</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天加、雅士、清华同方</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2381"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17</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集中新风净化空调机组MAU-S-401</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1.名称：集中新风净化空调机组MAU-S-401</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2.规格：总风量5300m3/h 新风量5300m3/h 机外静压600PA 电机功率4KW 噪声&lt;85db ( A ) ；</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过滤器：G4+F7+H10；</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水系统：四管制；制冷量：99kw，制热量：19kw；</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3.隔振垫(器)、支架形式、材质：加厚型橡胶减震垫</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4.安装形式：落地安装</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5.电机检查接线、单体调试、系统调试</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6.混凝土基础</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天加、雅士、清华同方</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2615"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18</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集中新风净化空调机组MAU-S-402</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1.名称：集中新风净化空调机组MAU-S-402</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2.规格：总风量12300m3/h 新风量12300m3/h 机外静压600PA 电机功率11KW 噪声&lt;85db ( A ) ；</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过滤器：G4+F7+H10；</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水系统：四管制；制冷量：230kw，制热量：45kw；</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3.隔振垫(器)、支架形式、材质：加厚型橡胶减震垫</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4.安装形式：落地安装</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5.电机检查接线、单体调试、系统调试</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6.混凝土基础</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天加、雅士、清华同方</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2696"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19</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集中新风净化空调机组MAU-S-403</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1.名称：集中新风净化空调机组MAU-S-403</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2.规格：总风量17000m3/h 新风量17000m3/h 机外静压600PA 电机功率15KW 噪声&lt;85db ( A ) ；</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过滤器：G4+F7+H10；</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水系统：四管制；制冷量：318kw，制热量：62kw；</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3.隔振垫(器)、支架形式、材质：加厚型橡胶减震垫</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4.安装形式：落地安装</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5.电机检查接线、单体调试、系统调试</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6.混凝土基础</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天加、雅士、清华同方</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74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20</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MAU-S-401氟盘管深度除湿机</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1.名称：MAU-S-401氟盘管深度除湿机</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2.规格：制冷：10KW；功率：4KW</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3.隔振垫(器)、支架形式、材质：加厚型橡胶减震垫</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4.安装形式：落地安装</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5.电机检查接线、单体调试、系统调试</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6.混凝土基础</w:t>
                  </w:r>
                </w:p>
              </w:tc>
              <w:tc>
                <w:tcPr>
                  <w:tcW w:w="1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854"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21</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MAU-S-402氟盘管深度除湿机</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1.名称：MAU-S-402氟盘管深度除湿机</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2.规格：制冷：25KW；功率：10KW</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3.隔振垫(器)、支架形式、材质：加厚型橡胶减震垫</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4.安装形式：落地安装</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5.电机检查接线、单体调试、系统调试</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6.混凝土基础</w:t>
                  </w:r>
                </w:p>
              </w:tc>
              <w:tc>
                <w:tcPr>
                  <w:tcW w:w="1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894"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22</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MAU-S-403氟盘管深度除湿机</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1.名称：MAU-S-403氟盘管深度除湿机</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2.规格：制冷：30KW；功率：12KW</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3.隔振垫(器)、支架形式、材质：加厚型橡胶减震垫</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4.安装形式：落地安装</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5.电机检查接线、单体调试、系统调试</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6.混凝土基础</w:t>
                  </w:r>
                </w:p>
              </w:tc>
              <w:tc>
                <w:tcPr>
                  <w:tcW w:w="1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2465"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23</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自取新风净化循环空调机组PAU-ZG-101</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1.名称：自取新风净化循环空调机组PAU-ZG-101</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2.规格：总风量7000m3/h 新风量1200m3/h 机外静压650PA 电机功率5.5KW 噪声&lt;85db ( A ) ；</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过滤器：G4+F7+H10；</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水系统：四管制；制冷量：53kw，制热量：26kw；</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3.隔振垫(器)、支架形式、材质：加厚型橡胶减震垫</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4.安装形式：落地安装</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5.电机检查接线、单体调试、系统调试             6.混凝土基础</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天加、雅士、清华同方</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2645"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24</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新风机组FAU-ZG-101</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1.名称：新风机组FAU-ZG-101</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2.规格：总风量6000m3/h 新风量6000m3/h 机外静压300PA 电机功率4KW 噪声&lt;85db ( A )；</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过滤器：G4+F7；</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水系统：四管制；制冷量：89kw，制热量：22kw；</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3.隔振垫(器)、支架形式、材质：加厚型橡胶减震垫</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4.安装形式：落地安装</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5.电机检查接线、单体调试、系统调试             6.混凝土基础</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天加、雅士、清华同方</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2697"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25</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自取新风净化循环空调机组PAU-JM-101</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1.名称：自取新风净化循环空调机组PAU-JM-101</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2.规格：总风量4000m3/h 新风量1000m3/h 机外静压800PA 电机功率3KW 噪声&lt;85db ( A ) ；</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过滤器：G4+F7+H10；</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水系统：四管制；制冷量：35kw，制热量：15kw；</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3.隔振垫(器)、支架形式、材质：加厚型橡胶减震垫</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4.安装形式：落地安装</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5.电机检查接线、单体调试、系统调试             6.混凝土基础</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天加、雅士、清华同方</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2721"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26</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自取新风净化循环空调机组PAU-JM-102</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1.名称：自取新风净化循环空调机组PAU-JM-102</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2.规格：总风量6600m3/h 新风量6600m3/h 机外静压700PA 电机功率5.5KW 噪声&lt;85db ( A ) ；</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过滤器：G4+F7+H10；</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水系统：四管制；制冷量：131kw，制热量：50kw；</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3.隔振垫(器)、支架形式、材质：加厚型橡胶减震垫</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4.安装形式：落地安装</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5.电机检查接线、单体调试、系统调试             6.混凝土基础</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天加、雅士、清华同方</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2721"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color w:val="auto"/>
                      <w:highlight w:val="none"/>
                    </w:rPr>
                  </w:pPr>
                  <w:r>
                    <w:rPr>
                      <w:rFonts w:hint="eastAsia" w:ascii="宋体" w:hAnsi="宋体" w:cs="宋体"/>
                      <w:color w:val="auto"/>
                      <w:sz w:val="20"/>
                      <w:szCs w:val="20"/>
                      <w:highlight w:val="none"/>
                      <w:lang w:bidi="ar"/>
                    </w:rPr>
                    <w:t>27</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新风机组PAU-X-201</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1.名称：新风机组PAU-X-201</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2.规格：风量：总风量4800m3/h 新风量3200m3/h 机外静压800PA 电机功率3KW 噪声&lt;85db ( A ) ；</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过滤器：G4+F7+H10；</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水系统：两管制；制冷量：66kw，制热量：38kw；</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3.隔振垫(器)、支架形式、材质：加厚型橡胶减震垫</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4.安装形式：落地安装</w:t>
                  </w:r>
                </w:p>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5.电机检查接线、单体调试、系统调试             6.混凝土基础</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天加、雅士、清华同方</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台</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1.00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2721"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29</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自取新风净化循环空调机组PAU-YC-201</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1.名称：自取新风净化循环空调机组PAU-YC-201</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2.规格：风量：总风量6700m3/h 新风量6700m3/h 机外静压650PA 电机功率5.5KW 噪声&lt;85db ( A ) ；</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过滤器：G4+F7+H10；</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水系统：四管制；制冷量：130kw，制热量：50kw；</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3.隔振垫(器)、支架形式、材质：加厚型橡胶减震垫</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4.安装形式：落地安装</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5.电机检查接线、单体调试、系统调试             6.混凝土基础</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天加、雅士、清华同方</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2665"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30</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自取新风净化循环空调机组PAU-YC-202</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1.名称：自取新风净化循环空调机组PAU-YC-202</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2.规格：风量：总风量5500m3/h 新风量5500m3/h 机外静压650PA 电机功率5.5KW 噪声&lt;85db ( A ) ；</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过滤器：G4+F7+H10；</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水系统：四管制；制冷量：110kw，制热量：40kw；</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3.隔振垫(器)、支架形式、材质：加厚型橡胶减震垫</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4.安装形式：落地安装</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5.电机检查接线、单体调试、系统调试             6.混凝土基础</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天加、雅士、清华同方</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2665"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31</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新风机组PAU-BL-301</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1.名称：新风机组PAU-BL-301</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2.规格：总风量5200m3/h 新风量5200m3/h 机外静压650PA 电机功率5.5KW 噪声&lt;85 &lt;85db ( A ) ；</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过滤器：G4+F7+H10；</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水系统：四管制；制冷量：105kw，制热量：40kw；</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3.隔振垫(器)、支架形式、材质：加厚型橡胶减震垫</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4.安装形式：落地安装</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5.电机检查接线、单体调试、系统调试             6.混凝土基础</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天加、雅士、清华同方</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2665"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32</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新风机组PAU-BL-302</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1.名称：新风机组PAU-BL-302</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2.规格：总风量11000m3/h新风量11000m3/h机外静压300PA电机功率5.5KW噪声&lt;85db ( A )；                   过滤器：G4+F7；</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水系统：四管制；制冷量：122kw，制热量：40kw；</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3.隔振垫(器)、支架形式、材质：加厚型橡胶减震垫</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4.安装形式：落地安装</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5.电机检查接线、单体调试、系统调试             6.混凝土基础</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天加、雅士、清华同方</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 w:val="20"/>
                      <w:szCs w:val="20"/>
                      <w:highlight w:val="none"/>
                    </w:rPr>
                  </w:pP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2268"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33</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自取新风净化空调机组PAU-P-301</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1.名称：自取新风净化空调机组PAU-P-301</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2.规格：总风量2000m3/h 新风量2000m3/h 机外静压650PA 电机功率2.2KW 噪声&lt;85db ( A ) ；</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过滤器：G4+F7+H10；</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水系统：两管制；制冷量：40kw，制热量：15kw；</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3.隔振垫(器)、支架形式、材质：橡胶减震垫吊钩</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4.安装形式：室内吊装</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5.电机检查接线、单体调试、系统调试</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天加、雅士、清华同方</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2268"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34</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自取新风净化空调机组PAU-m-401</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1.名称：自取新风净化空调机组PAU-m-401</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2.规格：总风量1600m3/h 新风量1600m3/h 机外静压650PA 电机功率2.2KW 噪声&lt;85db ( A ) ；</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过滤器：G4+F7+H10；</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水系统：两管制；制冷量：40kw，制热量：15kw；</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3.隔振垫(器)、支架形式、材质：橡胶减震垫吊钩</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4.安装形式：室内吊装</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5.电机检查接线、单体调试、系统调试</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天加、雅士、清华同方</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312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35</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自取新风净化空调机组PAU-C-401</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1.名称：自取新风净化空调机组PAU-C-401</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2.规格：风量：总风量1600m3/h 新风量1600m3/h 机外静压650PA 电机功率2.2KW 噪声&lt;85db ( A ) ；</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过滤器：G4+F7+H10；</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水系统：二管制；制冷量：40kw，制热量：15kw；</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3.隔振垫(器)、支架形式、材质：加厚型橡胶减震垫</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4.安装形式：落地安装</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5.电机检查接线、单体调试、系统调试             6.混凝土基础</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天加、雅士、清华同方</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2721"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36</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自取新风净化循环空调机组PAU-C-402</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1.名称：自取新风净化循环空调机组PAU-C-402</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2.规格：总风量2600m3/h 新风量1300m3/h 机外静压650PA 电机功率3KW 噪声&lt;85db ( A ) ；</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过滤器：G4+F7+H10；</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水系统：四管制；制冷量：28kw，制热量：14kw；</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3.隔振垫(器)、支架形式、材质：加厚型橡胶减震垫</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4.安装形式：落地安装</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5.电机检查接线、单体调试、系统调试             6.混凝土基础</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天加、雅士、清华同方</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80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37</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控制面板</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1.名称：控制面板</w:t>
                  </w:r>
                </w:p>
              </w:tc>
              <w:tc>
                <w:tcPr>
                  <w:tcW w:w="1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套</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13.00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24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38</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妇科二层检验科PCR实验室生物安全柜</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全排、双人位</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苏净安泰、山东新华、青岛海尔</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套</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161"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39</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门诊三层病理科PCR实验室生物安全柜</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全排、双人位</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苏净安泰、山东新华、青岛海尔</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套</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161"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40</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新风机组控制系统</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1.名称：新风机组控制系统</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2.规格：选用DDC或PLC控制器.结合温湿度传感器.压差开关.风阀执行器等控制设备，对系统的风量.温度.湿度进行控制调节，详参数见设计说明</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西门子、霍尼韦尔、江森</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套</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4.00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20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41</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净化循环机组控制系统</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1.名称：净化循环机组控制系统</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2.规格：选用DDC或PLC控制器.结合温湿度传感器.压差开关.风阀执行器等控制设备，对系统的风量.温度.湿度进行控制调节，详参数见设计说明</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西门子、霍尼韦尔、江森</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套</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29.00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62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42</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管道静压控制系统</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1.名称：管道静压控制系统</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2.规格：持续监测管道内的静压变化,通过调整风机转速来恒定管道内静压;控制系统在0.1秒内探测到压差变化并输出控制信号;夜间工况时,控制系统有第二状态设置;详参数见设计说明</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西门子、霍尼韦尔、江森</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套</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20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43</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通风柜面风速控制系统</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1.名称：通风柜面风速控制系统                      2.面风速控制系统持续地监测实际面风速状态,当任何因素影响面风速变动时,系统将自动调整管道上的风阀以恒定设定的面风速值，详参数见设计说明                                    3.包括红外线传感器、执行器、风速传感器、控制器及排风机远程控制面板等一切设计及规范要求的内容</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西门子、霍尼韦尔、江森</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套</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519"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bCs/>
                      <w:color w:val="auto"/>
                      <w:sz w:val="20"/>
                      <w:szCs w:val="20"/>
                      <w:highlight w:val="none"/>
                    </w:rPr>
                  </w:pPr>
                  <w:r>
                    <w:rPr>
                      <w:rFonts w:hint="eastAsia" w:ascii="宋体" w:hAnsi="宋体" w:cs="宋体"/>
                      <w:b/>
                      <w:bCs/>
                      <w:color w:val="auto"/>
                      <w:sz w:val="20"/>
                      <w:szCs w:val="20"/>
                      <w:highlight w:val="none"/>
                      <w:lang w:bidi="ar"/>
                    </w:rPr>
                    <w:t>二</w:t>
                  </w:r>
                </w:p>
              </w:tc>
              <w:tc>
                <w:tcPr>
                  <w:tcW w:w="571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b/>
                      <w:bCs/>
                      <w:color w:val="auto"/>
                      <w:sz w:val="20"/>
                      <w:szCs w:val="20"/>
                      <w:highlight w:val="none"/>
                    </w:rPr>
                  </w:pPr>
                  <w:r>
                    <w:rPr>
                      <w:rFonts w:hint="eastAsia" w:ascii="宋体" w:hAnsi="宋体" w:cs="宋体"/>
                      <w:b/>
                      <w:bCs/>
                      <w:color w:val="auto"/>
                      <w:sz w:val="20"/>
                      <w:szCs w:val="20"/>
                      <w:highlight w:val="none"/>
                      <w:lang w:bidi="ar"/>
                    </w:rPr>
                    <w:t>设备部件</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b/>
                      <w:bCs/>
                      <w:color w:val="auto"/>
                      <w:sz w:val="20"/>
                      <w:szCs w:val="20"/>
                      <w:highlight w:val="none"/>
                    </w:rPr>
                  </w:pP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 w:val="20"/>
                      <w:szCs w:val="20"/>
                      <w:highlight w:val="none"/>
                    </w:rPr>
                  </w:pP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 w:val="20"/>
                      <w:szCs w:val="20"/>
                      <w:highlight w:val="none"/>
                    </w:rPr>
                  </w:pP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519"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风管式电加热箱</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1.名称：风管式电加热箱</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2.规格：功率：3kw</w:t>
                  </w:r>
                </w:p>
              </w:tc>
              <w:tc>
                <w:tcPr>
                  <w:tcW w:w="1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519"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风管式电加热箱</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1.名称：风管式电加热箱</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2.规格：功率：5kw</w:t>
                  </w:r>
                </w:p>
              </w:tc>
              <w:tc>
                <w:tcPr>
                  <w:tcW w:w="1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3.00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519"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3</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风管式电加热箱</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1.名称：风管式电加热箱</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2.规格：功率：6kw</w:t>
                  </w:r>
                </w:p>
              </w:tc>
              <w:tc>
                <w:tcPr>
                  <w:tcW w:w="1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519"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4</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风管式电加热箱</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1.名称：风管式电加热箱</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2.规格：功率：8kw</w:t>
                  </w:r>
                </w:p>
              </w:tc>
              <w:tc>
                <w:tcPr>
                  <w:tcW w:w="1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519"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5</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风管式电加热箱</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1.名称：风管式电加热箱</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2.规格：功率：14kw</w:t>
                  </w:r>
                </w:p>
              </w:tc>
              <w:tc>
                <w:tcPr>
                  <w:tcW w:w="1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519"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6</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风管式电加热箱</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1.名称：风管式电加热箱</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2.规格：功率：15kw</w:t>
                  </w:r>
                </w:p>
              </w:tc>
              <w:tc>
                <w:tcPr>
                  <w:tcW w:w="1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519"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7</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风管式电加热箱</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1.名称：风管式电加热箱</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2.规格：功率：16kw</w:t>
                  </w:r>
                </w:p>
              </w:tc>
              <w:tc>
                <w:tcPr>
                  <w:tcW w:w="1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60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8</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风管式电加热箱</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1.名称：风管式电加热箱</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2.规格：功率：18kw</w:t>
                  </w:r>
                </w:p>
              </w:tc>
              <w:tc>
                <w:tcPr>
                  <w:tcW w:w="1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60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9</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风管式电加热箱</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1.名称：风管式电加热箱</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2.规格：功率：33kw</w:t>
                  </w:r>
                </w:p>
              </w:tc>
              <w:tc>
                <w:tcPr>
                  <w:tcW w:w="1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60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10</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风管式电加热箱</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1.名称：风管式电加热箱</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2.规格：功率：45kw</w:t>
                  </w:r>
                </w:p>
              </w:tc>
              <w:tc>
                <w:tcPr>
                  <w:tcW w:w="1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60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11</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电再热</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1.名称：电再热</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2.规格：5kw</w:t>
                  </w:r>
                </w:p>
              </w:tc>
              <w:tc>
                <w:tcPr>
                  <w:tcW w:w="1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3.00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60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12</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电再热</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1.名称：电再热</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2.规格：8kw</w:t>
                  </w:r>
                </w:p>
              </w:tc>
              <w:tc>
                <w:tcPr>
                  <w:tcW w:w="1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60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13</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电再热</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1.名称：电再热</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2.规格：9kw</w:t>
                  </w:r>
                </w:p>
              </w:tc>
              <w:tc>
                <w:tcPr>
                  <w:tcW w:w="1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5.00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60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14</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电再热</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1.名称：电再热</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2.规格：10kw</w:t>
                  </w:r>
                </w:p>
              </w:tc>
              <w:tc>
                <w:tcPr>
                  <w:tcW w:w="1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60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15</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电再热</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1.名称：电再热</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2.规格：12kw</w:t>
                  </w:r>
                </w:p>
              </w:tc>
              <w:tc>
                <w:tcPr>
                  <w:tcW w:w="1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6.00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60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16</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电再热</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1.名称：电再热</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2.规格：15kw</w:t>
                  </w:r>
                </w:p>
              </w:tc>
              <w:tc>
                <w:tcPr>
                  <w:tcW w:w="1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60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17</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电再热</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1.名称：电再热</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2.规格：17kw</w:t>
                  </w:r>
                </w:p>
              </w:tc>
              <w:tc>
                <w:tcPr>
                  <w:tcW w:w="1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60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18</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电再热</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1.名称：电再热</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2.规格：18kw</w:t>
                  </w:r>
                </w:p>
              </w:tc>
              <w:tc>
                <w:tcPr>
                  <w:tcW w:w="1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60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19</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电再热</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1.名称：电再热</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2.规格：23kw</w:t>
                  </w:r>
                </w:p>
              </w:tc>
              <w:tc>
                <w:tcPr>
                  <w:tcW w:w="1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60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20</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电再热</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1.名称：电再热</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2.规格：28kw</w:t>
                  </w:r>
                </w:p>
              </w:tc>
              <w:tc>
                <w:tcPr>
                  <w:tcW w:w="1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60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21</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电再热</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1.名称：电再热</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2.规格：31kw</w:t>
                  </w:r>
                </w:p>
              </w:tc>
              <w:tc>
                <w:tcPr>
                  <w:tcW w:w="1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60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22</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电再热</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1.名称：电再热</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2.规格：36kw</w:t>
                  </w:r>
                </w:p>
              </w:tc>
              <w:tc>
                <w:tcPr>
                  <w:tcW w:w="1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60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23</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电再热</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1.名称：电再热</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2.规格：50kw</w:t>
                  </w:r>
                </w:p>
              </w:tc>
              <w:tc>
                <w:tcPr>
                  <w:tcW w:w="1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96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24</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电热加湿器</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1.名称：电热加湿器</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2.规格：加湿量:7KG/H，加湿功率:7kw            3.包括蒸汽输送软管、4m金属管、软接等，其余按设计及规范要求</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Cs w:val="21"/>
                      <w:highlight w:val="none"/>
                    </w:rPr>
                  </w:pPr>
                  <w:r>
                    <w:rPr>
                      <w:rFonts w:hint="eastAsia" w:ascii="宋体" w:hAnsi="宋体" w:cs="宋体"/>
                      <w:color w:val="auto"/>
                      <w:szCs w:val="21"/>
                      <w:highlight w:val="none"/>
                      <w:lang w:bidi="ar"/>
                    </w:rPr>
                    <w:t>卡乐、康迪、思探得</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3.00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96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25</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电热加湿器</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1.名称：电热加湿器</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2.规格：加湿量:8KG/H，加湿功率:8kw            3.包括蒸汽输送软管、4m金属管、软接等，其余按设计及规范要求</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Cs w:val="21"/>
                      <w:highlight w:val="none"/>
                    </w:rPr>
                  </w:pPr>
                  <w:r>
                    <w:rPr>
                      <w:rFonts w:hint="eastAsia" w:ascii="宋体" w:hAnsi="宋体" w:cs="宋体"/>
                      <w:color w:val="auto"/>
                      <w:szCs w:val="21"/>
                      <w:highlight w:val="none"/>
                      <w:lang w:bidi="ar"/>
                    </w:rPr>
                    <w:t>卡乐、康迪、思探得</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96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26</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电热加湿器</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1.名称：电热加湿器</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2.规格：加湿量:10KG/H，加湿功率:10kw          3.包括蒸汽输送软管、4m金属管、软接等，其余按设计及规范要求</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Cs w:val="21"/>
                      <w:highlight w:val="none"/>
                    </w:rPr>
                  </w:pPr>
                  <w:r>
                    <w:rPr>
                      <w:rFonts w:hint="eastAsia" w:ascii="宋体" w:hAnsi="宋体" w:cs="宋体"/>
                      <w:color w:val="auto"/>
                      <w:szCs w:val="21"/>
                      <w:highlight w:val="none"/>
                      <w:lang w:bidi="ar"/>
                    </w:rPr>
                    <w:t>卡乐、康迪、思探得</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96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27</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电热加湿器</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1.名称：电热加湿器</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2.规格：加湿量:11KG/H，加湿功率:11kw          3.包括蒸汽输送软管、4m金属管、软接等，其余按设计及规范要求</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Cs w:val="21"/>
                      <w:highlight w:val="none"/>
                    </w:rPr>
                  </w:pPr>
                  <w:r>
                    <w:rPr>
                      <w:rFonts w:hint="eastAsia" w:ascii="宋体" w:hAnsi="宋体" w:cs="宋体"/>
                      <w:color w:val="auto"/>
                      <w:szCs w:val="21"/>
                      <w:highlight w:val="none"/>
                      <w:lang w:bidi="ar"/>
                    </w:rPr>
                    <w:t>卡乐、康迪、思探得</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96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28</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电热加湿器</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1.名称：电热加湿器</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2.规格：加湿量:15KG/H，加湿功率:15kw          3.包括蒸汽输送软管、4m金属管、软接等，其余按设计及规范要求</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Cs w:val="21"/>
                      <w:highlight w:val="none"/>
                    </w:rPr>
                  </w:pPr>
                  <w:r>
                    <w:rPr>
                      <w:rFonts w:hint="eastAsia" w:ascii="宋体" w:hAnsi="宋体" w:cs="宋体"/>
                      <w:color w:val="auto"/>
                      <w:szCs w:val="21"/>
                      <w:highlight w:val="none"/>
                      <w:lang w:bidi="ar"/>
                    </w:rPr>
                    <w:t>卡乐、康迪、思探得</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96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29</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电热加湿器</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1.名称：电热加湿器</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2.规格：加湿量:16KG/H，加湿功率:16kw          3.包括蒸汽输送软管、4m金属管、软接等，其余按设计及规范要求</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Cs w:val="21"/>
                      <w:highlight w:val="none"/>
                    </w:rPr>
                  </w:pPr>
                  <w:r>
                    <w:rPr>
                      <w:rFonts w:hint="eastAsia" w:ascii="宋体" w:hAnsi="宋体" w:cs="宋体"/>
                      <w:color w:val="auto"/>
                      <w:szCs w:val="21"/>
                      <w:highlight w:val="none"/>
                      <w:lang w:bidi="ar"/>
                    </w:rPr>
                    <w:t>卡乐、康迪、思探得</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3.00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96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30</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电热加湿器</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1.名称：电热加湿器</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2.规格：加湿量:17KG/H，加湿功率:17.4kw          3.包括蒸汽输送软管、4m金属管、软接等，其余按设计及规范要求</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Cs w:val="21"/>
                      <w:highlight w:val="none"/>
                    </w:rPr>
                  </w:pPr>
                  <w:r>
                    <w:rPr>
                      <w:rFonts w:hint="eastAsia" w:ascii="宋体" w:hAnsi="宋体" w:cs="宋体"/>
                      <w:color w:val="auto"/>
                      <w:szCs w:val="21"/>
                      <w:highlight w:val="none"/>
                      <w:lang w:bidi="ar"/>
                    </w:rPr>
                    <w:t>卡乐、康迪、思探得</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4.00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96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31</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电热加湿器</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1.名称：电热加湿器</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2.规格：加湿量:19KG/H，加湿功率:19kw          3.包括蒸汽输送软管、4m金属管、软接等，其余按设计及规范要求</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Cs w:val="21"/>
                      <w:highlight w:val="none"/>
                    </w:rPr>
                  </w:pPr>
                  <w:r>
                    <w:rPr>
                      <w:rFonts w:hint="eastAsia" w:ascii="宋体" w:hAnsi="宋体" w:cs="宋体"/>
                      <w:color w:val="auto"/>
                      <w:szCs w:val="21"/>
                      <w:highlight w:val="none"/>
                      <w:lang w:bidi="ar"/>
                    </w:rPr>
                    <w:t>卡乐、康迪、思探得</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3.00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96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32</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电热加湿器</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1.名称：电热加湿器</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2.规格：加湿量:24KG/H，加湿功率:24kw          3.包括蒸汽输送软管、4m金属管、软接等，其余按设计及规范要求</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Cs w:val="21"/>
                      <w:highlight w:val="none"/>
                    </w:rPr>
                  </w:pPr>
                  <w:r>
                    <w:rPr>
                      <w:rFonts w:hint="eastAsia" w:ascii="宋体" w:hAnsi="宋体" w:cs="宋体"/>
                      <w:color w:val="auto"/>
                      <w:szCs w:val="21"/>
                      <w:highlight w:val="none"/>
                      <w:lang w:bidi="ar"/>
                    </w:rPr>
                    <w:t>卡乐、康迪、思探得</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96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33</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电热加湿器</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1.名称：电热加湿器</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2.规格：加湿量:28KG/H，加湿功率:28kw          3.包括蒸汽输送软管、4m金属管、软接等，其余按设计及规范要求</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Cs w:val="21"/>
                      <w:highlight w:val="none"/>
                    </w:rPr>
                  </w:pPr>
                  <w:r>
                    <w:rPr>
                      <w:rFonts w:hint="eastAsia" w:ascii="宋体" w:hAnsi="宋体" w:cs="宋体"/>
                      <w:color w:val="auto"/>
                      <w:szCs w:val="21"/>
                      <w:highlight w:val="none"/>
                      <w:lang w:bidi="ar"/>
                    </w:rPr>
                    <w:t>卡乐、康迪、思探得</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96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34</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电热加湿器</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1.名称：电热加湿器</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2.规格：加湿量:32KG/H，加湿功率:32kw          3.包括蒸汽输送软管、4m金属管、软接等，其余按设计及规范要求</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Cs w:val="21"/>
                      <w:highlight w:val="none"/>
                    </w:rPr>
                  </w:pPr>
                  <w:r>
                    <w:rPr>
                      <w:rFonts w:hint="eastAsia" w:ascii="宋体" w:hAnsi="宋体" w:cs="宋体"/>
                      <w:color w:val="auto"/>
                      <w:szCs w:val="21"/>
                      <w:highlight w:val="none"/>
                      <w:lang w:bidi="ar"/>
                    </w:rPr>
                    <w:t>卡乐、康迪、思探得</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96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35</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电热加湿器</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 xml:space="preserve">1.名称：电热加湿器 </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2.规格：加湿量:40KG/H，加湿功率:40kw          3.包括蒸汽输送软管、4m金属管、软接等，其余按设计及规范要求</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Cs w:val="21"/>
                      <w:highlight w:val="none"/>
                    </w:rPr>
                  </w:pPr>
                  <w:r>
                    <w:rPr>
                      <w:rFonts w:hint="eastAsia" w:ascii="宋体" w:hAnsi="宋体" w:cs="宋体"/>
                      <w:color w:val="auto"/>
                      <w:szCs w:val="21"/>
                      <w:highlight w:val="none"/>
                      <w:lang w:bidi="ar"/>
                    </w:rPr>
                    <w:t>卡乐、康迪、思探得</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96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36</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电热加湿器</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1.名称：电热加湿器</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2.规格：加湿量:44KG/H，加湿功率:44kw          3.包括蒸汽输送软管、4m金属管、软接等，其余按设计及规范要求</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Cs w:val="21"/>
                      <w:highlight w:val="none"/>
                    </w:rPr>
                  </w:pPr>
                  <w:r>
                    <w:rPr>
                      <w:rFonts w:hint="eastAsia" w:ascii="宋体" w:hAnsi="宋体" w:cs="宋体"/>
                      <w:color w:val="auto"/>
                      <w:szCs w:val="21"/>
                      <w:highlight w:val="none"/>
                      <w:lang w:bidi="ar"/>
                    </w:rPr>
                    <w:t>卡乐、康迪、思探得</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96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37</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电热加湿器</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1.名称：电热加湿器</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2.规格：加湿量:52KG/H，加湿功率:52kw          3.包括蒸汽输送软管、4m金属管、软接等，其余按设计及规范要求</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Cs w:val="21"/>
                      <w:highlight w:val="none"/>
                    </w:rPr>
                  </w:pPr>
                  <w:r>
                    <w:rPr>
                      <w:rFonts w:hint="eastAsia" w:ascii="宋体" w:hAnsi="宋体" w:cs="宋体"/>
                      <w:color w:val="auto"/>
                      <w:szCs w:val="21"/>
                      <w:highlight w:val="none"/>
                      <w:lang w:bidi="ar"/>
                    </w:rPr>
                    <w:t>卡乐、康迪、思探得</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96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38</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电热加湿器</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1.名称：电热加湿器</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2.规格：加湿量:53KG/H，加湿功率:53kw          3.包括蒸汽输送软管、4m金属管、软接等，其余按设计及规范要求</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Cs w:val="21"/>
                      <w:highlight w:val="none"/>
                    </w:rPr>
                  </w:pPr>
                  <w:r>
                    <w:rPr>
                      <w:rFonts w:hint="eastAsia" w:ascii="宋体" w:hAnsi="宋体" w:cs="宋体"/>
                      <w:color w:val="auto"/>
                      <w:szCs w:val="21"/>
                      <w:highlight w:val="none"/>
                      <w:lang w:bidi="ar"/>
                    </w:rPr>
                    <w:t>卡乐、康迪、思探得</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96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39</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电热加湿器</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1.名称：电热加湿器</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2.规格：加湿量:55KG/H，加湿功率:55kw          3.包括蒸汽输送软管、4m金属管、软接等，其余按设计及规范要求</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Cs w:val="21"/>
                      <w:highlight w:val="none"/>
                    </w:rPr>
                  </w:pPr>
                  <w:r>
                    <w:rPr>
                      <w:rFonts w:hint="eastAsia" w:ascii="宋体" w:hAnsi="宋体" w:cs="宋体"/>
                      <w:color w:val="auto"/>
                      <w:szCs w:val="21"/>
                      <w:highlight w:val="none"/>
                      <w:lang w:bidi="ar"/>
                    </w:rPr>
                    <w:t>卡乐、康迪、思探得</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52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40</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变频器</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1.名称：变频器</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2.规格：2.2kw</w:t>
                  </w:r>
                </w:p>
              </w:tc>
              <w:tc>
                <w:tcPr>
                  <w:tcW w:w="1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3.00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52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41</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变频器</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1.名称：变频器</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2.规格：3kw</w:t>
                  </w:r>
                </w:p>
              </w:tc>
              <w:tc>
                <w:tcPr>
                  <w:tcW w:w="1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6.00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52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42</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变频器</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1.名称：变频器</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2.规格：4kw</w:t>
                  </w:r>
                </w:p>
              </w:tc>
              <w:tc>
                <w:tcPr>
                  <w:tcW w:w="1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6.00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52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43</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变频器</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1.名称：变频器</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2.规格：5.5kw</w:t>
                  </w:r>
                </w:p>
              </w:tc>
              <w:tc>
                <w:tcPr>
                  <w:tcW w:w="1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7.00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52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44</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变频器</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1.名称：变频器</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2.规格：7.5kw</w:t>
                  </w:r>
                </w:p>
              </w:tc>
              <w:tc>
                <w:tcPr>
                  <w:tcW w:w="1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52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45</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变频器</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1.名称：变频器</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2.规格：11kw</w:t>
                  </w:r>
                </w:p>
              </w:tc>
              <w:tc>
                <w:tcPr>
                  <w:tcW w:w="1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3.00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52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46</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变频器</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1.名称：变频器</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2.规格：15kw</w:t>
                  </w:r>
                </w:p>
              </w:tc>
              <w:tc>
                <w:tcPr>
                  <w:tcW w:w="1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56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47</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设备及UPS间3P室内机（含室外机）</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1.名称：设备及UPS间3P室内机（含室外机）</w:t>
                  </w:r>
                </w:p>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2.规格：样本库5P室内机（含室外机）</w:t>
                  </w:r>
                </w:p>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2.规格：包括冷媒及铜管、支架等设计图纸所示一切内容</w:t>
                  </w:r>
                </w:p>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3.安装形式：吊装</w:t>
                  </w:r>
                </w:p>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4.隔振垫(器).支架形式.材质：橡胶减震吊钩</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5.电机检查接线</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富士通、三菱重工海尔、海信日立</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套</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44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48</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样本库5P室内机（含室外机）</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1.名称：样本库5P室内机（含室外机）</w:t>
                  </w:r>
                </w:p>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2.规格：包括冷媒及铜管、支架等设计图纸所示一切内容</w:t>
                  </w:r>
                </w:p>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3.安装形式：吊装</w:t>
                  </w:r>
                </w:p>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4.隔振垫(器).支架形式.材质：橡胶减震吊钩</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5.电机检查接线</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富士通、三菱重工海尔、海信日立</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套</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220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49</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风机盘管FP-85</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1.名称：风机盘管FP-85</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2.规格：两管制，送风量：850m3/H；机外静压：30Pa；制冷量：4.9kw；制热量7.2kw；输入功率0.082kw</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3.安装形式：吊装</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4.隔振垫(器).支架形式.材质：橡胶减震吊钩</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5.电机检查接线</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6.其他:回风箱、集水盘的供应及安装</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新晃、格力、天加</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4.00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220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50</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风机盘管FP-35</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1.名称：风机盘管FP-35</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2.规格：两管制，送风量：340m3/H；机外静压：30Pa；中档制冷量：2.2kw；制热量：3.2kw；输入功率0.042kw</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3.安装形式：吊装</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4.隔振垫(器).支架形式.材质：橡胶减震吊钩</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5.电机检查接线</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6.其他:回风箱、集水盘的供应及安装</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新晃、格力、天加</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13.00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220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51</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风机盘管FP-51</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1.名称：风机盘管FP-51</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2.规格：两管制，送风量：510m3/H；机外静压：30Pa；中档制冷量：3.1kw；制热量：5.0kw；输入功率0.055kw</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3.安装形式：吊装</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4.隔振垫(器).支架形式.材质：橡胶减震吊钩</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5.电机检查接线</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6.其他:回风箱、集水盘的供应及安装</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新晃、格力、天加</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4.00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220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52</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风机盘管FP-63</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1.名称：风机盘管FP-63</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2.规格：两管制，送风量：680m3/H；机外静压：30Pa；中档制冷量：3.8kw；制热量：5.9kw；输入功率0.068kw</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3.安装形式：吊装</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4.隔振垫(器).支架形式.材质：橡胶减震吊钩</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5.电机检查接线</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6.其他:回风箱、集水盘的供应及安装</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新晃、格力、天加</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6.00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220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53</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风机盘管FP-10</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1.名称：风机盘管FP-10</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2.规格：两管制，送风量：1020m3/H；机外静压：30Pa；中档制冷量：6.2kw；制热量：8.6kw；输入功率0.135kw</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3.安装形式：吊装</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4.隔振垫(器).支架形式.材质：橡胶减震吊钩</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5.电机检查接线</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6.其他:回风箱、集水盘的供应及安装</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新晃、格力、天加</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19.00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98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54</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排风机PF-S-401~420</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1.名称：排风机PF-S-401~420</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2.规格：风量：300m3/H，机外余压：300pa，配电功率：0.23kw</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3.安装形式：室内吊装</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4.隔振垫(器).支架形式.材质：金属弹簧-橡胶复合型减震吊钩</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5.电机接线检查</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上虞贝斯特、上虞科博、上虞专用</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20.00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98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55</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排风机PF-S-421</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1.名称：排风机PF-S-421</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2.规格：风量：1200m3/H，机外余压：500pa，配电功率：1.1kw</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3.安装形式：室内吊装</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4.隔振垫(器).支架形式.材质：金属弹簧-橡胶复合型减震吊钩</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5.电机接线检查</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上虞贝斯特、上虞科博、上虞专用</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98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56</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排风机PF-S-422</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1.名称：排风机PF-S-422</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2.规格：风量：600m3/H，机外余压：300pa，配电功率：0.36kw</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3.安装形式：室内吊装</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4.隔振垫(器).支架形式.材质：金属弹簧-橡胶复合型减震吊钩</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5.电机接线检查</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上虞贝斯特、上虞科博、上虞专用</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98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57</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排风机PF-S-423</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1.名称：排风机PF-S-423</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2.规格：风量：2400m3/H，机外余压：300pa，配电功率：1.1kw</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3.安装形式：室内吊装</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4.隔振垫(器).支架形式.材质：金属弹簧-橡胶复合型减震吊钩</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5.电机接线检查</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上虞贝斯特、上虞科博、上虞专用</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98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58</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排风机PF-S-424</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1.名称：排风机PF-S-424</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2.规格：风量：2000m3/H，机外余压：300pa，配电功率：1.1kw；</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3.安装形式：室内吊装</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4.隔振垫(器).支架形式.材质：金属弹簧-橡胶复合型减震吊钩</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5.电机接线检查</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上虞贝斯特、上虞科博、上虞专用</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98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59</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排风机PF-S-425</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1.名称：排风机PF-S-425</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2.规格：风量：2400m3/H，机外余压：300pa，配电功率：1.1kw</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3.安装形式：室内吊装</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4.隔振垫(器).支架形式.材质：金属弹簧-橡胶复合型减震吊钩</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5.电机接线检查</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上虞贝斯特、上虞科博、上虞专用</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98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60</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排风机PF-S-426</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1.名称：排风机PF-S-426</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2.规格：风量：1500m3/H，机外余压：300pa，配电功率：0.66kw</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3.安装形式：室内吊装</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4.隔振垫(器).支架形式.材质：金属弹簧-橡胶复合型减震吊钩</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5.电机接线检查</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上虞贝斯特、上虞科博、上虞专用</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98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61</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排风机PF-S-427</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1.名称：排风机PF-S-427</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2.规格：风量：1200m3/H，机外余压：300pa，配电功率：0.5kw</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3.安装形式：室内吊装</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4.隔振垫(器).支架形式.材质：金属弹簧-橡胶复合型减震吊钩</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5.电机接线检查</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上虞贝斯特、上虞科博、上虞专用</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98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62</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排风机PF-S-428</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1.名称：排风机PF-S-428</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2.规格：风量：300m3/H，机外余压：300pa，配电功率0.23kw</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3.安装形式：室内吊装</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4.隔振垫(器).支架形式.材质：金属弹簧-橡胶复合型减震吊钩</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5.电机接线检查</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上虞贝斯特、上虞科博、上虞专用</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98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63</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排风机PF-BL-301</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1.名称：排风机PF-BL-301</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 xml:space="preserve">2.规格：风量：1000m3/H，机外余压：250pa，配电功率：0.36kw </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3.安装形式：室内吊装</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4.隔振垫(器).支架形式.材质：金属弹簧-橡胶复合型减震吊钩</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5.电机接线检查</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上虞贝斯特、上虞科博、上虞专用</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98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64</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排风机PF-BL-302</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1.名称：排风机PF-BL-302</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2.规格：风量：1400m3/H，机外余压：700pa，配电功率：1.5kw 变频 带H13高效过滤器</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3.隔振垫(器)、支架形式、材质：加厚型橡胶减震垫</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4.安装形式：落地安装</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5.电机检查接线、单体调试、系统调试             6.混凝土基础</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上虞贝斯特、上虞科博、上虞专用</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98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65</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排风机PF-BL-303</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1.名称：排风机PF-BL-303</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2.规格：风量：1600m3/H，机外余压：700pa，配电功率：1.5kw 变频 带H13高效过滤器</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3.隔振垫(器)、支架形式、材质：加厚型橡胶减震垫</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4.安装形式：落地安装</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5.电机检查接线、单体调试、系统调试             6.混凝土基础</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上虞贝斯特、上虞科博、上虞专用</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98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66</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排风机PF-BL-304</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1.名称：排风机PF-BL-304</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2.规格：风量：1800m3/H，机外余压：700pa，配电功率：1.5kw 变频 带H13高效过滤器</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3.隔振垫(器)、支架形式、材质：加厚型橡胶减震垫</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4.安装形式：落地安装</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5.电机检查接线、单体调试、系统调试             6.混凝土基础</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上虞贝斯特、上虞科博、上虞专用</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98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67</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排风机PF-BL-305</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1.名称：排风机PF-BL-305</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 xml:space="preserve">2.规格：风量：500m3/H，机外余压：200pa，配电功率：0.23kw </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3.安装形式：室内吊装</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4.隔振垫(器).支架形式.材质：金属弹簧-橡胶复合型减震吊钩</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5.电机接线检查</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上虞贝斯特、上虞科博、上虞专用</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98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68</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玻璃钢风机PF-BL-306</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1.名称：玻璃钢风机PF-BL-306</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2.规格：风量：15000m3/H，机外余压：900pa，配电功率：11kw，变频 带活性炭过滤器</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3.隔振垫(器)、支架形式、材质：加厚型橡胶减震垫</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4.安装形式：落地安装</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5.电机检查接线、单体调试、系统调试             6.混凝土基础</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上虞贝斯特、上虞科博、上虞专用</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98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69</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排风机PF-ZG-101</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1.名称：排风机PF-ZG-101</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2.规格：风量：600m3/H，机外余压：200pa，配电功率：0.36kw</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3.安装形式：室内吊装</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4.隔振垫(器).支架形式.材质：金属弹簧-橡胶复合型减震吊钩</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5.电机接线检查</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上虞贝斯特、上虞科博、上虞专用</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98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70</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排风机PF-ZG-102</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1.名称：排风机PF-ZG-102</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 xml:space="preserve">2.规格：风量：500m3/H，机外余压：450pa，配电功率：0.66kw </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3.安装形式：室内吊装</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4.隔振垫(器).支架形式.材质：金属弹簧-橡胶复合型减震吊钩</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5.电机接线检查</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上虞贝斯特、上虞科博、上虞专用</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98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71</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排风机PF-ZG-103</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1.名称：排风机PF-ZG-103</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2.规格：风量：600m3/H，机外余压：200pa，配电功率：0.36kw</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3.安装形式：室内吊装</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4.隔振垫(器).支架形式.材质：金属弹簧-橡胶复合型减震吊钩</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5.电机接线检查</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上虞贝斯特、上虞科博、上虞专用</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98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72</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防潮排风机PF-ZG-104</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1.名称：防潮排风机PF-ZG-104</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2.规格：风量：1300m3/H，机外余压：200pa，配电功率：0.5kw</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3.安装形式：室内吊装</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4.隔振垫(器).支架形式.材质：金属弹簧-橡胶复合型减震吊钩</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5.电机接线检查</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上虞贝斯特、上虞科博、上虞专用</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98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73</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排风机PF-ZG-105</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1.名称：排风机PF-ZG-105</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2.规格：风量：600m3/H，机外余压：250pa，配电功率：0.36kw</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3.安装形式：室内吊装</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4.隔振垫(器).支架形式.材质：金属弹簧-橡胶复合型减震吊钩</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5.电机接线检查</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上虞贝斯特、上虞科博、上虞专用</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98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74</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耐高温排风机PF-ZG-106</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1.名称：耐高温排风机PF-ZG-106</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 xml:space="preserve">2.规格：风量：2000m3/H，机外余压：200pa，配电功率：0.66kw </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3.安装形式：室内吊装</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4.隔振垫(器).支架形式.材质：金属弹簧-橡胶复合型减震吊钩</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5.电机接线检查</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上虞贝斯特、上虞科博、上虞专用</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98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75</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排风机PF-P-301</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1.名称：排风机PF-P-301（一用一备）</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2.规格：风量：2400m3/H，机外余压：600pa，配电功率：2.2kw，变频 带H13高效过滤器</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3.安装形式：室内吊装</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4.隔振垫(器).支架形式.材质：金属弹簧-橡胶复合型减震吊钩</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5.电机接线检查</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上虞贝斯特、上虞科博、上虞专用</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98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76</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排风机PF-M-401</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1.名称：排风机PF-M-401（一用一备）</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2.规格：风量：2000m3/H，机外余压：800pa，配电功率：2.2kw，变频 带H13高效过滤器</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3.安装形式：室内吊装</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4.隔振垫(器).支架形式.材质：金属弹簧-橡胶复合型减震吊钩</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5.电机接线检查</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上虞贝斯特、上虞科博、上虞专用</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98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77</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玻璃钢排风机PF-X-201</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1.名称：玻璃钢排风机PF-X-201</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2.规格：风量：1500m3/H，机外余压：600pa，配电功率：1.1kw，变频 带活性炭过滤器</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3.安装形式：室内吊装</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4.隔振垫(器).支架形式.材质：金属弹簧-橡胶复合型减震吊钩</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5.电机接线检查</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上虞贝斯特、上虞科博、上虞专用</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98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78</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排风机PF-X-202~204</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1.名称：排风机PF-X-202~204</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2.规格：风量：1200m3/H，机外余压：500pa，配电功率：1.1kw，变频 带H13高效过滤器</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3.安装形式：室内吊装</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4.隔振垫(器).支架形式.材质：金属弹簧-橡胶复合型减震吊钩</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5.电机接线检查</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上虞贝斯特、上虞科博、上虞专用</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3.00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98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79</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排风机PF-X-205</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1.名称：玻璃钢排风机PF-X-205</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2.规格：风量：4000m3/H，机外余压：400pa，配电功率：2.2kw，增压变频，内置风速传感器</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3.安装形式：室内吊装</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4.隔振垫(器).支架形式.材质：金属弹簧-橡胶复合型减震吊钩</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5.电机接线检查</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上虞贝斯特、上虞科博、上虞专用</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98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80</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排风机PF-C-401（一用一备）</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1.名称：排风机PF-C-401（一用一备）</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2.规格：风量：2000m3/H，机外余压：800pa，配电功率：2.2kw，变频 带H13高效过滤器</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3.安装形式：室内吊装</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4.隔振垫(器).支架形式.材质：金属弹簧-橡胶复合型减震吊钩</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5.电机接线检查</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上虞贝斯特、上虞科博、上虞专用</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98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81</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排风机PF-C-402</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1.名称：排风机PF-C-402</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2.规格：风量：300m3/H，机外余压：250pa，配电功率：0.23kw</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3.安装形式：室内吊装</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4.隔振垫(器).支架形式.材质：金属弹簧-橡胶复合型减震吊钩</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5.电机接线检查</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上虞贝斯特、上虞科博、上虞专用</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98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82</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排风机PF-YC-201</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1.名称：排风机PF-YC-201</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2.规格：风量：800m3/H，机外余压：250pa，配电功率：0.36kw</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3.安装形式：室内吊装</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4.隔振垫(器).支架形式.材质：金属弹簧-橡胶复合型减震吊钩</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5.电机接线检查</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上虞贝斯特、上虞科博、上虞专用</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226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83</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排风机PF-YC-202~205、209~210</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1.名称：排风机PF-YC-202~205、209~210</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2.规格：风量：1400m3/H，机外余压：500pa，配电功率：1.1kw，变频 带H13高效过滤器</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3.安装形式：室内吊装</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4.隔振垫(器).支架形式.材质：金属弹簧-橡胶复合型减震吊钩</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5.电机接线检查</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上虞贝斯特、上虞科博、上虞专用</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6.00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204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84</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排风机PF-YC-206</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1.名称：排风机PF-YC-206</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2.规格：风量：1600m3/H，机外余压：500pa，配电功率：1.1kw，变频 带H13高效过滤器</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3.安装形式：室内吊装</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4.隔振垫(器).支架形式.材质：金属弹簧-橡胶复合型减震吊钩</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5.电机接线检查</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上虞贝斯特、上虞科博、上虞专用</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98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85</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排风机PF-YC-207、211</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1.名称：排风机PF-YC-207、211</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2.规格：风量：600m3/H，机外余压：250pa，配电功率：0.23kw</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3.安装形式：室内吊装</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4.隔振垫(器).支架形式.材质：金属弹簧-橡胶复合型减震吊钩</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5.电机接线检查</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上虞贝斯特、上虞科博、上虞专用</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98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86</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排风机PF-YC-208</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1.名称：排风机PF-YC-208</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2.规格：风量：2400m3/H，机外余压：500pa，配电功率：1.5kw，变频 带H13高效过滤器</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3.安装形式：室内吊装</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4.隔振垫(器).支架形式.材质：金属弹簧-橡胶复合型减震吊钩</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5.电机接线检查</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上虞贝斯特、上虞科博、上虞专用</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98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87</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排风机PF-YC-212</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1.名称：排风机PF-YC-212</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2.规格：风量：7000m3/H，机外余压：400pa，配电功率：3kw，增压变频，内置风速传感器</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3.安装形式：室内吊装</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4.隔振垫(器).支架形式.材质：金属弹簧-橡胶复合型减震吊钩</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5.电机接线检查</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上虞贝斯特、上虞科博、上虞专用</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98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88</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排风机PF-YC-213</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1.名称：排风机PF-YC-213</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2.规格：风量：5200m3/H，机外余压：400pa，配电功率：3kw，增压变频，内置风速传感器</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3.安装形式：室内吊装</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4.隔振垫(器).支架形式.材质：金属弹簧-橡胶复合型减震吊钩</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5.电机接线检查</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上虞贝斯特、上虞科博、上虞专用</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80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89</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排风机PF-JM-101</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1.名称：排风机PF-JM-101</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2.规格：风量：600m3/H，机外余压：250pa，配电功率：0.36kw</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3.安装形式：室内吊装</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4.隔振垫(器).支架形式.材质：金属弹簧-橡胶复合型减震吊钩</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5.电机接线检查</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上虞贝斯特、上虞科博、上虞专用</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98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90</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玻璃钢排风机PF-JM-102~104</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1.名称：玻璃钢排风机PF-JM-102~104</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2.规格：风量：2500m3/H，机外余压：400pa，配电功率：2.2kw，变频</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3.安装形式：室内吊装</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4.隔振垫(器).支架形式.材质：金属弹簧-橡胶复合型减震吊钩</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5.电机接线检查</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上虞贝斯特、上虞科博、上虞专用</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3.00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222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91</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排风机PF-JM-102-1~104-1</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1.名称：玻璃钢排风机PF-JM-102-1~104-1</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2.规格：风量：2500m3/H，机外余压：400pa，配电功率：2.2kw，变频，带H13高效过滤器</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3.安装形式：室内吊装</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4.隔振垫(器).支架形式.材质：金属弹簧-橡胶复合型减震吊钩</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5.电机接线检查</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上虞贝斯特、上虞科博、上虞专用</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3.00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74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92</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空气外排处理箱</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1.名称：空气外排处理箱</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皇家动力、亿利达、科禄格</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 w:val="20"/>
                      <w:szCs w:val="20"/>
                      <w:highlight w:val="none"/>
                    </w:rPr>
                  </w:pP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5.00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999"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93</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排气扇</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1.名称：排气扇</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2.规格：风量：300m3/H，机外余压：50pa，配电功率：0.02kw</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3.安装形式：室内吊装</w:t>
                  </w:r>
                </w:p>
              </w:tc>
              <w:tc>
                <w:tcPr>
                  <w:tcW w:w="1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681"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bCs/>
                      <w:color w:val="auto"/>
                      <w:sz w:val="20"/>
                      <w:szCs w:val="20"/>
                      <w:highlight w:val="none"/>
                    </w:rPr>
                  </w:pPr>
                  <w:r>
                    <w:rPr>
                      <w:rFonts w:hint="eastAsia" w:ascii="宋体" w:hAnsi="宋体" w:cs="宋体"/>
                      <w:b/>
                      <w:bCs/>
                      <w:color w:val="auto"/>
                      <w:sz w:val="20"/>
                      <w:szCs w:val="20"/>
                      <w:highlight w:val="none"/>
                      <w:lang w:bidi="ar"/>
                    </w:rPr>
                    <w:t>三</w:t>
                  </w:r>
                </w:p>
              </w:tc>
              <w:tc>
                <w:tcPr>
                  <w:tcW w:w="571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b/>
                      <w:bCs/>
                      <w:color w:val="auto"/>
                      <w:sz w:val="20"/>
                      <w:szCs w:val="20"/>
                      <w:highlight w:val="none"/>
                    </w:rPr>
                  </w:pPr>
                  <w:r>
                    <w:rPr>
                      <w:rFonts w:hint="eastAsia" w:ascii="宋体" w:hAnsi="宋体" w:cs="宋体"/>
                      <w:b/>
                      <w:bCs/>
                      <w:color w:val="auto"/>
                      <w:sz w:val="20"/>
                      <w:szCs w:val="20"/>
                      <w:highlight w:val="none"/>
                      <w:lang w:bidi="ar"/>
                    </w:rPr>
                    <w:t>通风管道</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b/>
                      <w:bCs/>
                      <w:color w:val="auto"/>
                      <w:sz w:val="20"/>
                      <w:szCs w:val="20"/>
                      <w:highlight w:val="none"/>
                    </w:rPr>
                  </w:pP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 w:val="20"/>
                      <w:szCs w:val="20"/>
                      <w:highlight w:val="none"/>
                    </w:rPr>
                  </w:pP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 w:val="20"/>
                      <w:szCs w:val="20"/>
                      <w:highlight w:val="none"/>
                    </w:rPr>
                  </w:pP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246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净化风管</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1.名称：净化风管</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2.材质：优质镀锌钢板</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3.形状：矩形</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4.板材厚度：0.5mm</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5.管件：含法兰、风管检查孔等附件、垫木、热浸锌吊支架（预埋吊座）、防火材料、开洞、套管及其封堵等，其余按设计及规范要求</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6.接口形式：咬口</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7.其他：空气洁净度满足设计要求                8.穿越防火墙2mm钢板，外包35mm厚水泥砂浆保护</w:t>
                  </w:r>
                </w:p>
              </w:tc>
              <w:tc>
                <w:tcPr>
                  <w:tcW w:w="1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2947.38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357"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净化风管</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1.名称：净化风管</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2.材质：不锈钢板</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3.形状：矩形</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4.板材厚度：0.5mm</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5.管件：含法兰、风管检查孔等附件、垫木、热浸锌吊支架（预埋吊座）、防火材料、开洞、套管及其封堵等，其余按设计及规范要求</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6.接口形式：咬口</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7.其他：空气洁净度满足设计要求                8.穿越防火墙2mm钢板，外包35mm厚水泥砂浆保护</w:t>
                  </w:r>
                </w:p>
              </w:tc>
              <w:tc>
                <w:tcPr>
                  <w:tcW w:w="1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1.50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98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3</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净化风管</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1.名称：净化风管</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2.材质：优质镀锌钢板</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3.形状：矩形</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4.板材厚度：0.6mm</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5.管件：含法兰、风管检查孔等附件、垫木、热浸锌吊支架（预埋吊座）、防火材料、开洞、套管及其封堵等，其余按设计及规范要求</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6.接口形式：咬口</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7.其他：空气洁净度满足设计要求                 8.穿越防火墙2mm钢板，外包35mm厚水泥砂浆保护</w:t>
                  </w:r>
                </w:p>
              </w:tc>
              <w:tc>
                <w:tcPr>
                  <w:tcW w:w="1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2820.22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98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4</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净化风管</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1.名称：净化风管</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2.材质：优质镀锌钢板</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3.形状：矩形</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4.板材厚度：0.75mm</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5.管件：含法兰、风管检查孔等附件、垫木、热浸锌吊支架（预埋吊座）、防火材料、开洞、套管及其封堵等，其余按设计及规范要求</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6.接口形式：咬口</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7.其他：空气洁净度满足设计要求                 8.穿越防火墙2mm钢板，外包35mm厚水泥砂浆保护</w:t>
                  </w:r>
                </w:p>
              </w:tc>
              <w:tc>
                <w:tcPr>
                  <w:tcW w:w="1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3136.47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98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5</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净化风管</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1.名称：净化风管</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2.材质：优质镀锌钢板</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3.形状：矩形</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4.板材厚度：1.0mm</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5.管件：含法兰、风管检查孔等附件、垫木、热浸锌吊支架（预埋吊座）、防火材料、开洞、套管及其封堵等，其余按设计及规范要求</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6.接口形式：咬口</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7.其他：空气洁净度满足设计要求                 8.穿越防火墙2mm钢板，外包35mm厚水泥砂浆保护</w:t>
                  </w:r>
                </w:p>
              </w:tc>
              <w:tc>
                <w:tcPr>
                  <w:tcW w:w="1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140.23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98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6</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净化风管</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1.名称：净化风管</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2.材质：PP</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3.形状：矩形</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4.板材厚度：3mm</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5.管件：含法兰、风管检查孔等附件、垫木、热浸锌吊支架（预埋吊座）、防火材料、开洞、套管及其封堵等，其余按设计及规范要求</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6.其他：空气洁净度满足设计要求                  7.穿越防火墙2mm钢板，外包35mm厚水泥砂浆保护</w:t>
                  </w:r>
                </w:p>
              </w:tc>
              <w:tc>
                <w:tcPr>
                  <w:tcW w:w="1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170.33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98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7</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净化风管</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1.名称：净化风管</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2.材质：PP</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3.形状：矩形</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4.板材厚度：4mm</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管件：含法兰、风管检查孔等附件、垫木、热浸锌吊支架（预埋吊座）、防火材料、开洞、套管及其封堵等，其余按设计及规范要求</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6.其他：空气洁净度满足设计要求                 7.穿越防火墙2mm钢板，外包35mm厚水泥砂浆保护</w:t>
                  </w:r>
                </w:p>
              </w:tc>
              <w:tc>
                <w:tcPr>
                  <w:tcW w:w="1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21.50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54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8</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风管软接</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1.名称：风管软接</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2.材质：双层防火帆布</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color w:val="auto"/>
                      <w:sz w:val="20"/>
                      <w:szCs w:val="20"/>
                      <w:highlight w:val="none"/>
                    </w:rPr>
                  </w:pP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500.76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32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9</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橡塑保温棉</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1.绝热材料品种：发泡橡塑保温板</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2.绝热厚度：30mm</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3.其他：燃烧等级 B1级，导热系数：平均温度为0℃时≤0.034w/m.k，表观密度:≤95Kg/m3</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阿乐斯福乐斯（德国）、阿斯克（浙江）、杜肯福耐斯（美国）</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m3</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271.37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64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10</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保护层铝箔</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1.名称：保护层铝箔</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2.规格：0.5mm</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 w:val="20"/>
                      <w:szCs w:val="20"/>
                      <w:highlight w:val="none"/>
                    </w:rPr>
                  </w:pPr>
                </w:p>
              </w:tc>
              <w:tc>
                <w:tcPr>
                  <w:tcW w:w="6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m2</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67.54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825"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11</w:t>
                  </w:r>
                </w:p>
              </w:tc>
              <w:tc>
                <w:tcPr>
                  <w:tcW w:w="571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b/>
                      <w:bCs/>
                      <w:color w:val="auto"/>
                      <w:sz w:val="20"/>
                      <w:szCs w:val="20"/>
                      <w:highlight w:val="none"/>
                    </w:rPr>
                  </w:pPr>
                  <w:r>
                    <w:rPr>
                      <w:rFonts w:hint="eastAsia" w:ascii="宋体" w:hAnsi="宋体" w:cs="宋体"/>
                      <w:b/>
                      <w:bCs/>
                      <w:color w:val="auto"/>
                      <w:sz w:val="20"/>
                      <w:szCs w:val="20"/>
                      <w:highlight w:val="none"/>
                      <w:lang w:bidi="ar"/>
                    </w:rPr>
                    <w:t>管道部件</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b/>
                      <w:bCs/>
                      <w:color w:val="auto"/>
                      <w:sz w:val="20"/>
                      <w:szCs w:val="20"/>
                      <w:highlight w:val="none"/>
                    </w:rPr>
                  </w:pP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 w:val="20"/>
                      <w:szCs w:val="20"/>
                      <w:highlight w:val="none"/>
                    </w:rPr>
                  </w:pP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 w:val="20"/>
                      <w:szCs w:val="20"/>
                      <w:highlight w:val="none"/>
                    </w:rPr>
                  </w:pP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825"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12</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70℃常开防火阀</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1.名称：70℃常开防火阀</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2.规格：120*120                                3.含热浸锌吊支架、除锈刷油防腐</w:t>
                  </w:r>
                </w:p>
              </w:tc>
              <w:tc>
                <w:tcPr>
                  <w:tcW w:w="1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825"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13</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70℃常开防火阀</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1.名称：70℃常开防火阀</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2.规格：200*160                                3.含热浸锌吊支架、除锈刷油防腐</w:t>
                  </w:r>
                </w:p>
              </w:tc>
              <w:tc>
                <w:tcPr>
                  <w:tcW w:w="1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825"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14</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70℃常开防火阀</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1.名称：70℃常开防火阀</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2.规格：200*200                                 3.含热浸锌吊支架、除锈刷油防腐</w:t>
                  </w:r>
                </w:p>
              </w:tc>
              <w:tc>
                <w:tcPr>
                  <w:tcW w:w="1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9.00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825"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15</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70℃常开防火阀</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1.名称：70℃常开防火阀</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2.规格：250*200                                       3.含热浸锌吊支架、除锈刷油防腐</w:t>
                  </w:r>
                </w:p>
              </w:tc>
              <w:tc>
                <w:tcPr>
                  <w:tcW w:w="1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825"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16</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70℃常开防火阀</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1.名称：70℃常开防火阀</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2.规格：200*320                                        3.含热浸锌吊支架、除锈刷油防腐</w:t>
                  </w:r>
                </w:p>
              </w:tc>
              <w:tc>
                <w:tcPr>
                  <w:tcW w:w="1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825"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17</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70℃常开防火阀</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1.名称：70℃常开防火阀</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2.规格：200*400                                       3.含热浸锌吊支架、除锈刷油防腐</w:t>
                  </w:r>
                </w:p>
              </w:tc>
              <w:tc>
                <w:tcPr>
                  <w:tcW w:w="1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3.00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825"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18</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70℃常开防火阀</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1.名称：70℃常开防火阀</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2.规格：320*200                                        3.含热浸锌吊支架、除锈刷油防腐</w:t>
                  </w:r>
                </w:p>
              </w:tc>
              <w:tc>
                <w:tcPr>
                  <w:tcW w:w="1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12.00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825"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19</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70℃常开防火阀</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1.名称：70℃常开防火阀</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2.规格：320*250                                     3.含热浸锌吊支架、除锈刷油防腐</w:t>
                  </w:r>
                </w:p>
              </w:tc>
              <w:tc>
                <w:tcPr>
                  <w:tcW w:w="1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5.00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825"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20</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70℃常开防火阀</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1.名称：70℃常开防火阀</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2.规格：400*250                                      3.含热浸锌吊支架、除锈刷油防腐</w:t>
                  </w:r>
                </w:p>
              </w:tc>
              <w:tc>
                <w:tcPr>
                  <w:tcW w:w="1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825"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21</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70℃常开防火阀</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1.名称：70℃常开防火阀</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2.规格：320*320                                      3.含热浸锌吊支架、除锈刷油防腐</w:t>
                  </w:r>
                </w:p>
              </w:tc>
              <w:tc>
                <w:tcPr>
                  <w:tcW w:w="1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12.00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825"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22</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70℃常开防火阀</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1.名称：70℃常开防火阀</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2.规格：400*320                                     3.含热浸锌吊支架、除锈刷油防腐</w:t>
                  </w:r>
                </w:p>
              </w:tc>
              <w:tc>
                <w:tcPr>
                  <w:tcW w:w="1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11.00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825"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23</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70℃常开防火阀</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1.名称：70℃常开防火阀</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2.规格：400*200                                     3.含热浸锌吊支架、除锈刷油防腐</w:t>
                  </w:r>
                </w:p>
              </w:tc>
              <w:tc>
                <w:tcPr>
                  <w:tcW w:w="1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21.00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825"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24</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70℃常开防火阀</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1.名称：70℃常开防火阀</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2.规格：400*400                                      3.含热浸锌吊支架、除锈刷油防腐</w:t>
                  </w:r>
                </w:p>
              </w:tc>
              <w:tc>
                <w:tcPr>
                  <w:tcW w:w="1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825"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25</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70℃常开防火阀</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1.名称：70℃常开防火阀</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2.规格：500*200                                      3.含热浸锌吊支架、除锈刷油防腐</w:t>
                  </w:r>
                </w:p>
              </w:tc>
              <w:tc>
                <w:tcPr>
                  <w:tcW w:w="1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825"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26</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70℃常开防火阀</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1.名称：70℃常开防火阀</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2.规格：500*400                                     3.含热浸锌吊支架、除锈刷油防腐</w:t>
                  </w:r>
                </w:p>
              </w:tc>
              <w:tc>
                <w:tcPr>
                  <w:tcW w:w="1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5.00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825"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27</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70℃常开防火阀</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1.名称：70℃常开防火阀</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2.规格：630*320                                     3.含热浸锌吊支架、除锈刷油防腐</w:t>
                  </w:r>
                </w:p>
              </w:tc>
              <w:tc>
                <w:tcPr>
                  <w:tcW w:w="1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825"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28</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70℃常开防火阀</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1.名称：70℃常开防火阀</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2.规格：630*400                                      3.含热浸锌吊支架、除锈刷油防腐</w:t>
                  </w:r>
                </w:p>
              </w:tc>
              <w:tc>
                <w:tcPr>
                  <w:tcW w:w="1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825"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29</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70℃常开防火阀</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1.名称：70℃常开防火阀</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2.规格：630*500                                    3.含热浸锌吊支架、除锈刷油防腐</w:t>
                  </w:r>
                </w:p>
              </w:tc>
              <w:tc>
                <w:tcPr>
                  <w:tcW w:w="1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16.00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825"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30</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70℃常开防火阀</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1.名称：70℃常开防火阀</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2.规格：800*320                                            3.含热浸锌吊支架、除锈刷油防腐</w:t>
                  </w:r>
                </w:p>
              </w:tc>
              <w:tc>
                <w:tcPr>
                  <w:tcW w:w="1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825"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31</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70℃常开防火阀</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1.名称：70℃常开防火阀</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2.规格：800*400                                            3.含热浸锌吊支架、除锈刷油防腐</w:t>
                  </w:r>
                </w:p>
              </w:tc>
              <w:tc>
                <w:tcPr>
                  <w:tcW w:w="1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825"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32</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70℃常开防火阀</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1.名称：70℃常开防火阀</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2.规格：800*500                                    3.含热浸锌吊支架、除锈刷油防腐</w:t>
                  </w:r>
                </w:p>
              </w:tc>
              <w:tc>
                <w:tcPr>
                  <w:tcW w:w="1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11.00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825"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33</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70℃常开防火阀</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1.名称：70℃常开防火阀</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2.规格：800*630                                   3.含热浸锌吊支架、除锈刷油防腐</w:t>
                  </w:r>
                </w:p>
              </w:tc>
              <w:tc>
                <w:tcPr>
                  <w:tcW w:w="1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5.00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825"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34</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70℃常开防火阀</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1.名称：70℃常开防火阀</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2.规格：1000*630                              3.含热浸锌吊支架、除锈刷油防腐</w:t>
                  </w:r>
                </w:p>
              </w:tc>
              <w:tc>
                <w:tcPr>
                  <w:tcW w:w="1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825"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35</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70℃常开防火阀</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1.名称：70℃常开防火阀</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2.规格：1250*630                                  3.含热浸锌吊支架、除锈刷油防腐</w:t>
                  </w:r>
                </w:p>
              </w:tc>
              <w:tc>
                <w:tcPr>
                  <w:tcW w:w="1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825"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36</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70℃常开防火阀</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1.名称：70℃常开防火阀</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2.规格：1000*500                              3.含热浸锌吊支架、除锈刷油防腐</w:t>
                  </w:r>
                </w:p>
              </w:tc>
              <w:tc>
                <w:tcPr>
                  <w:tcW w:w="1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4.00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825"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37</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70℃常开防火阀</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1.名称：70℃常开防火阀</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2.规格：1000*800                              3.含热浸锌吊支架、除锈刷油防腐</w:t>
                  </w:r>
                </w:p>
              </w:tc>
              <w:tc>
                <w:tcPr>
                  <w:tcW w:w="1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825"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38</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70℃常开防火阀</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1.名称：70℃常开防火阀</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2.规格：1250*800                              3.含热浸锌吊支架、除锈刷油防腐</w:t>
                  </w:r>
                </w:p>
              </w:tc>
              <w:tc>
                <w:tcPr>
                  <w:tcW w:w="1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825"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39</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多叶调节阀</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1.名称：多叶调节阀</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2.规格：120*120                                 3.含热浸锌吊支架、除锈刷油防腐</w:t>
                  </w:r>
                </w:p>
              </w:tc>
              <w:tc>
                <w:tcPr>
                  <w:tcW w:w="1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13.00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825"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40</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多叶调节阀</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1.名称：多叶调节阀</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2.规格：200*120                               3.含热浸锌吊支架、除锈刷油防腐</w:t>
                  </w:r>
                </w:p>
              </w:tc>
              <w:tc>
                <w:tcPr>
                  <w:tcW w:w="1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825"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41</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多叶调节阀</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1.名称：多叶调节阀</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2.规格：160*160</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3.含热浸锌吊支架、除锈刷油防腐</w:t>
                  </w:r>
                </w:p>
              </w:tc>
              <w:tc>
                <w:tcPr>
                  <w:tcW w:w="1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7.00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825"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42</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多叶调节阀</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1.名称：多叶调节阀</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 xml:space="preserve">2.规格：200*160  </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3.含热浸锌吊支架、除锈刷油防腐</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825"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43</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多叶调节阀</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1.名称：多叶调节阀</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 xml:space="preserve">2.规格：200*200  </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3.含热浸锌吊支架、除锈刷油防腐</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119.00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825"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44</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多叶调节阀</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1.名称：多叶调节阀</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 xml:space="preserve">2.规格：250*200  </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3.含热浸锌吊支架、除锈刷油防腐</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28.00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825"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45</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多叶调节阀</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1.名称：多叶调节阀</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 xml:space="preserve">2.规格：250*250  </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3.含热浸锌吊支架、除锈刷油防腐</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825"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46</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多叶调节阀</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1.名称：多叶调节阀</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 xml:space="preserve">2.规格：320*200  </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3.含热浸锌吊支架、除锈刷油防腐</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122.00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825"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47</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多叶调节阀</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1.名称：多叶调节阀</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 xml:space="preserve">2.规格：400*200  </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3.含热浸锌吊支架、除锈刷油防腐</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136.00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825"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48</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多叶调节阀</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1.名称：多叶调节阀</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 xml:space="preserve">2.规格：500*200  </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3.含热浸锌吊支架、除锈刷油防腐</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3.00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825"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49</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多叶调节阀</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1.名称：多叶调节阀</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 xml:space="preserve">2.规格：320*250  </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3.含热浸锌吊支架、除锈刷油防腐</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33.00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825"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50</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多叶调节阀</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1.名称：多叶调节阀</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 xml:space="preserve">2.规格：400*250  </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3.含热浸锌吊支架、除锈刷油防腐</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9.00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825"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51</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多叶调节阀</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1.名称：多叶调节阀</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 xml:space="preserve">2.规格：500*250  </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3.含热浸锌吊支架、除锈刷油防腐</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11.00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825"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52</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多叶调节阀</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1.名称：多叶调节阀</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 xml:space="preserve">2.规格：320*320  </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3.含热浸锌吊支架、除锈刷油防腐</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8.00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825"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53</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多叶调节阀</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1.名称：多叶调节阀</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 xml:space="preserve">2.规格：400*320  </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3.含热浸锌吊支架、除锈刷油防腐</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14.00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825"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54</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多叶调节阀</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1.名称：多叶调节阀</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 xml:space="preserve">2.规格：500*320  </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3.含热浸锌吊支架、除锈刷油防腐</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825"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55</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多叶调节阀</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1.名称：多叶调节阀</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 xml:space="preserve">2.规格：400*400  </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3.含热浸锌吊支架、除锈刷油防腐</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4.00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825"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56</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多叶调节阀</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1.名称：多叶调节阀</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 xml:space="preserve">2.规格：400*500  </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3.含热浸锌吊支架、除锈刷油防腐</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825"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57</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多叶调节阀</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1.名称：多叶调节阀</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 xml:space="preserve">2.规格：500*400  </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3.含热浸锌吊支架、除锈刷油防腐</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9.00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825"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58</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多叶调节阀</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1.名称：多叶调节阀</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 xml:space="preserve">2.规格：630*400  </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3.含热浸锌吊支架、除锈刷油防腐</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11.00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825"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59</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多叶调节阀</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1.名称：多叶调节阀</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 xml:space="preserve">2.规格：630*630  </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3.含热浸锌吊支架、除锈刷油防腐</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825"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60</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多叶调节阀</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1.名称：多叶调节阀</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 xml:space="preserve">2.规格：630*500  </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3.含热浸锌吊支架、除锈刷油防腐</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5.00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825"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61</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多叶调节阀</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1.名称：多叶调节阀</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 xml:space="preserve">2.规格：500*630 </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3.含热浸锌吊支架、除锈刷油防腐</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825"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62</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多叶调节阀</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1.名称：多叶调节阀</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 xml:space="preserve">2.规格：800*400  </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3.含热浸锌吊支架、除锈刷油防腐</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825"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63</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多叶调节阀</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1.名称：多叶调节阀</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 xml:space="preserve">2.规格：800*500  </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3.含热浸锌吊支架、除锈刷油防腐</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4.00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825"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64</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多叶调节阀</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1.名称：多叶调节阀</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 xml:space="preserve">2.规格：800*630  </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3.含热浸锌吊支架、除锈刷油防腐</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4.00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825"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65</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多叶调节阀</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1.名称：多叶调节阀</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 xml:space="preserve">2.规格：1000*630  </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3.含热浸锌吊支架、除锈刷油防腐</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5.00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825"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66</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多叶调节阀</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1.名称：多叶调节阀</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 xml:space="preserve">2.规格：1000*800  </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3.含热浸锌吊支架、除锈刷油防腐</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825"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67</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多叶调节阀</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1.名称：多叶调节阀</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 xml:space="preserve">2.规格：1250*630  </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3.含热浸锌吊支架、除锈刷油防腐</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825"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68</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多叶调节阀</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1.名称：多叶调节阀</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 xml:space="preserve">2.规格：1250*800  </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3.含热浸锌吊支架、除锈刷油防腐</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825"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69</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风路止回风阀</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1.名称：风管止回阀</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 xml:space="preserve">2.规格：φ200  </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3.含热浸锌吊支架、除锈刷油防腐</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825"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70</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风路止回风阀</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1.名称：风管止回阀</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 xml:space="preserve">2.规格：200*200  </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3.含热浸锌吊支架、除锈刷油防腐</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24.00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825"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71</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风路止回风阀</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1.名称：风管止回阀</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 xml:space="preserve">2.规格：200*400 </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3.含热浸锌吊支架、除锈刷油防腐</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3.00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825"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72</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风路止回风阀</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1.名称：风管止回阀</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 xml:space="preserve">2.规格：250*200  </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3.含热浸锌吊支架、除锈刷油防腐</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5.00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825"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73</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风路止回风阀</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1.名称：风管止回阀</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 xml:space="preserve">2.规格：320*200  </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3.含热浸锌吊支架、除锈刷油防腐</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3.00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825"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74</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风路止回风阀</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1.名称：风管止回阀</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 xml:space="preserve">2.规格：400*200  </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3.含热浸锌吊支架、除锈刷油防腐</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13.00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825"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75</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风路止回风阀</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1.名称：风管止回阀</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 xml:space="preserve">2.规格：400*250  </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3.含热浸锌吊支架、除锈刷油防腐</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825"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76</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风路止回风阀</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1.名称：风管止回阀</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 xml:space="preserve">2.规格：500*200  </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3.含热浸锌吊支架、除锈刷油防腐</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825"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77</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风路止回风阀</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1.名称：风管止回阀</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 xml:space="preserve">2.规格：320*250  </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3.含热浸锌吊支架、除锈刷油防腐</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3.00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825"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78</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风路止回风阀</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1.名称：风管止回阀</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 xml:space="preserve">2.规格：320*320  </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3.含热浸锌吊支架、除锈刷油防腐</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4.00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825"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79</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风路止回风阀</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1.名称：风管止回阀</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 xml:space="preserve">2.规格：400*320  </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3.含热浸锌吊支架、除锈刷油防腐</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16.00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825"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80</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风路止回风阀</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1.名称：风管止回阀</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2.规格：400*400</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3.含热浸锌吊支架、除锈刷油防腐</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3.00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825"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81</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风路止回风阀</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1.名称：风管止回阀</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 xml:space="preserve">2.规格：500*400  </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3.含热浸锌吊支架、除锈刷油防腐</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6.00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825"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82</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风路止回风阀</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1.名称：风管止回阀</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 xml:space="preserve">2.规格：630*320  </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3.含热浸锌吊支架、除锈刷油防腐</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825"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83</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风路止回风阀</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1.名称：风管止回阀</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 xml:space="preserve">2.规格：630*400  </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3.含热浸锌吊支架、除锈刷油防腐</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825"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84</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风路止回风阀</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1.名称：风管止回阀</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 xml:space="preserve">2.规格：630*500  </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3.含热浸锌吊支架、除锈刷油防腐</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825"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85</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风路止回风阀</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1.名称：风管止回阀</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 xml:space="preserve">2.规格：800*400  </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3.含热浸锌吊支架、除锈刷油防腐</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825"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86</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风路止回风阀</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1.名称：风管止回阀</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 xml:space="preserve">2.规格：800*500  </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3.含热浸锌吊支架、除锈刷油防腐</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825"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87</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风路止回风阀</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1.名称：风管止回阀</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 xml:space="preserve">2.规格：800*630  </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3.含热浸锌吊支架、除锈刷油防腐</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825"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88</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风路止回风阀</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1.名称：风管止回阀</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 xml:space="preserve">2.规格：1000*630  </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3.含热浸锌吊支架、除锈刷油防腐</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825"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89</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风路止回风阀</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1.名称：风管止回阀</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 xml:space="preserve">2.规格：1250*630  </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3.含热浸锌吊支架、除锈刷油防腐</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825"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90</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抽屉式防虫网</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1.名称：抽屉式防虫网</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2.规格：320*320</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6.00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825"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91</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抽屉式防虫网</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1.名称：抽屉式防虫网</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2.规格：400*320</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7.00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825"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92</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电动密闭阀</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1.名称：电动密闭阀</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 xml:space="preserve">2.规格：320*200 含执行器  </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3.含热浸锌吊支架、除锈刷油防腐</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825"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93</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电动密闭阀</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1.名称：电动密闭阀</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 xml:space="preserve">2.规格：320*250 含执行器  </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3.含热浸锌吊支架、除锈刷油防腐</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825"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94</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电动密闭阀</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1.名称：电动密闭阀</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 xml:space="preserve">2.规格：320*320 含执行器  </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3.含热浸锌吊支架、除锈刷油防腐</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825"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95</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电动密闭阀</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1.名称：电动密闭阀</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 xml:space="preserve">2.规格：400*320 含执行器  </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3.含热浸锌吊支架、除锈刷油防腐</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3.00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825"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96</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电动密闭阀</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1.名称：电动密闭阀</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 xml:space="preserve">2.规格：400*200 含执行器  </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3.含热浸锌吊支架、除锈刷油防腐</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29.00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825"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97</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电动密闭阀</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1.名称：电动密闭阀</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 xml:space="preserve">2.规格：400*400 含执行器  </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3.含热浸锌吊支架、除锈刷油防腐</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3.00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825"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98</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电动密闭阀</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1.名称：电动密闭阀</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 xml:space="preserve">2.规格：400*500 含执行器  </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3.含热浸锌吊支架、除锈刷油防腐</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825"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99</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电动密闭阀</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1.名称：电动密闭阀</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 xml:space="preserve">2.规格：500*400 含执行器  </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3.含热浸锌吊支架、除锈刷油防腐</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825"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100</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电动密闭阀</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1.名称：电动密闭阀</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 xml:space="preserve">2.规格：630*250 含执行器  </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3.含热浸锌吊支架、除锈刷油防腐</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825"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101</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电动密闭阀</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1.名称：电动密闭阀</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 xml:space="preserve">2.规格：630*400 含执行器  </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3.含热浸锌吊支架、除锈刷油防腐</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4.00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825"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102</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电动密闭阀</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1.名称：电动密闭阀</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 xml:space="preserve">2.规格：630*500 含执行器  </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3.含热浸锌吊支架、除锈刷油防腐</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3.00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825"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103</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电动密闭阀</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1.名称：电动密闭阀</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 xml:space="preserve">2.规格：1000*500 含执行器  </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3.含热浸锌吊支架、除锈刷油防腐</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825"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104</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电动密闭阀</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1.名称：电动密闭阀</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 xml:space="preserve">2.规格：1000*630 含执行器  </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3.含热浸锌吊支架、除锈刷油防腐</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825"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105</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电动密闭阀</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1.名称：电动密闭阀</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 xml:space="preserve">2.规格：1000*800 含执行器  </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3.含热浸锌吊支架、除锈刷油防腐</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00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106</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机械定风量调节阀</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1.名称：机械定风量调节阀</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2.设计风量：324~1296m3/h</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 xml:space="preserve">3.设备型号：RN200  </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4.含热浸锌吊支架、除锈刷油防腐</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西门子、霍尼韦尔、江森</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00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107</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机械定风量调节阀</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1.名称：机械定风量调节阀</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2.设计风量：522~2088m3/h</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3.设备型号：RN250</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西门子、霍尼韦尔、江森</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11.00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00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108</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机械定风量调节阀</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1.名称：机械定风量调节阀</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2.设计风量：828~3312m3/h</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3.设备型号：RN315</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4.含热浸锌吊支架、除锈刷油防腐</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西门子、霍尼韦尔、江森</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00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109</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机械定风量调节阀</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1.名称：机械定风量调节阀</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2.设计风量：1260~5040m3/h</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3.设备型号：RN400</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4.含热浸锌吊支架、除锈刷油防腐</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西门子、霍尼韦尔、江森</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20.00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60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110</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防雨百叶</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1.名称：防雨百叶</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2.规格：400*400</w:t>
                  </w:r>
                </w:p>
              </w:tc>
              <w:tc>
                <w:tcPr>
                  <w:tcW w:w="1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60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111</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防雨百叶</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1.名称：防雨百叶</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2.规格：600*400</w:t>
                  </w:r>
                </w:p>
              </w:tc>
              <w:tc>
                <w:tcPr>
                  <w:tcW w:w="1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3.00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60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112</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防雨百叶</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1.名称：防雨百叶</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2.规格：600*600</w:t>
                  </w:r>
                </w:p>
              </w:tc>
              <w:tc>
                <w:tcPr>
                  <w:tcW w:w="1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3.00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60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113</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防雨百叶</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1.名称：防雨百叶</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2.规格：630*400</w:t>
                  </w:r>
                </w:p>
              </w:tc>
              <w:tc>
                <w:tcPr>
                  <w:tcW w:w="1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60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114</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防雨百叶</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1.名称：防雨百叶</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2.规格：800*300</w:t>
                  </w:r>
                </w:p>
              </w:tc>
              <w:tc>
                <w:tcPr>
                  <w:tcW w:w="1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60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115</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防雨百叶</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1.名称：防雨百叶</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2.规格：800*400</w:t>
                  </w:r>
                </w:p>
              </w:tc>
              <w:tc>
                <w:tcPr>
                  <w:tcW w:w="1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60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116</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防雨百叶</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1.名称：防雨百叶</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2.规格：800*600</w:t>
                  </w:r>
                </w:p>
              </w:tc>
              <w:tc>
                <w:tcPr>
                  <w:tcW w:w="1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60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117</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防雨百叶</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1.名称：防雨百叶</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2.规格：1000*400</w:t>
                  </w:r>
                </w:p>
              </w:tc>
              <w:tc>
                <w:tcPr>
                  <w:tcW w:w="1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60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118</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防雨百叶</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1.名称：防雨百叶</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2.规格：1200*400</w:t>
                  </w:r>
                </w:p>
              </w:tc>
              <w:tc>
                <w:tcPr>
                  <w:tcW w:w="1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60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119</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防雨百叶</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1.名称：防雨百叶</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2.规格：1200*600</w:t>
                  </w:r>
                </w:p>
              </w:tc>
              <w:tc>
                <w:tcPr>
                  <w:tcW w:w="1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4.00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60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120</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防雨百叶</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1.名称：防雨百叶</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2.规格：1200*800</w:t>
                  </w:r>
                </w:p>
              </w:tc>
              <w:tc>
                <w:tcPr>
                  <w:tcW w:w="1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60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121</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防雨百叶</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1.名称：防雨百叶</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2.规格：1200*1000</w:t>
                  </w:r>
                </w:p>
              </w:tc>
              <w:tc>
                <w:tcPr>
                  <w:tcW w:w="1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60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122</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防雨百叶</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1.名称：防雨百叶</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2.规格：1500*600</w:t>
                  </w:r>
                </w:p>
              </w:tc>
              <w:tc>
                <w:tcPr>
                  <w:tcW w:w="1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3.00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60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123</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防雨百叶</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1.名称：防雨百叶</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2.规格：1600*600</w:t>
                  </w:r>
                </w:p>
              </w:tc>
              <w:tc>
                <w:tcPr>
                  <w:tcW w:w="1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3.00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60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124</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防雨百叶</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1.名称：防雨百叶</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2.规格：1600*1000</w:t>
                  </w:r>
                </w:p>
              </w:tc>
              <w:tc>
                <w:tcPr>
                  <w:tcW w:w="1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60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125</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防雨百叶</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1.名称：防雨百叶</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2.规格：1800*500</w:t>
                  </w:r>
                </w:p>
              </w:tc>
              <w:tc>
                <w:tcPr>
                  <w:tcW w:w="1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60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126</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防雨百叶</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1.名称：防雨百叶</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2.规格：1800*800</w:t>
                  </w:r>
                </w:p>
              </w:tc>
              <w:tc>
                <w:tcPr>
                  <w:tcW w:w="1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60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127</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防雨百叶</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1.名称：防雨百叶</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2.规格：2000*1600</w:t>
                  </w:r>
                </w:p>
              </w:tc>
              <w:tc>
                <w:tcPr>
                  <w:tcW w:w="1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60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128</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防雨百叶</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1.名称：防雨百叶</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2.规格：2600*800</w:t>
                  </w:r>
                </w:p>
              </w:tc>
              <w:tc>
                <w:tcPr>
                  <w:tcW w:w="1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60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129</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防雨百叶</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1.名称：防雨百叶</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2.规格：3000*800</w:t>
                  </w:r>
                </w:p>
              </w:tc>
              <w:tc>
                <w:tcPr>
                  <w:tcW w:w="1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78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130</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净化送风天花</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1.名称：净化送风天花</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2.规格：2600*1400,含高效过滤器</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铭铉、智迪锐、浩东（高效过滤器品牌为康斐尔、美埃、AAF）</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17.00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78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131</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净化送风天花</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1.名称：净化送风天花</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2.规格：2600*1800,含高效过滤器</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铭铉、智迪锐、浩东（高效过滤器品牌为康斐尔、美埃、AAF）</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3.00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78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132</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净化送风天花</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1.名称：净化送风天花</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2.规格：2600*2400,含高效过滤器</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铭铉、智迪锐、浩东（高效过滤器品牌为康斐尔、美埃、AAF）</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78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133</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高效送风口JS80</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1.名称：高效送风口JS80</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2.规格：800x600，额定风量1200m3/h,含高效过滤器</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铭铉、智迪锐、浩东（高效过滤器品牌为康斐尔、美埃、AAF）</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25.00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78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134</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高效送风口JS60</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1.名称：高效送风口JS60</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2.规格：600x600,额定风量700m3/h,含高效过滤器</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铭铉、智迪锐、浩东（高效过滤器品牌为康斐尔、美埃、AAF）</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109.00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78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135</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高效送风口JS40</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1.名称：高效送风口JS40</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2.规格：480x480,额定风量350m3/h,含高效过滤器</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铭铉、智迪锐、浩东（高效过滤器品牌为康斐尔、美埃、AAF）</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37.00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78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136</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净化上风口JH60</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1.名称：净化上风口JH60</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2.规格：600x600 带F6过滤</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铭铉、智迪锐、浩东</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26.00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78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137</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净化上风口JH40</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1.名称：净化上风口JH40</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2.规格：400x400 带F6过滤</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铭铉、智迪锐、浩东</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57.00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78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138</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净化上风口JH40</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1.名称：净化上风口JH40</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2.规格：400x400,手术室专用 带F8过滤</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铭铉、智迪锐、浩东</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21.00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78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139</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净化下回风口RG120</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1.名称：净化下回风口RG120</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2.规格：1200x400 带F6过滤</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铭铉、智迪锐、浩东</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17.00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78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140</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净化下回风口RG120</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1.名称：净化下回风口RG120</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2.规格：1200x400,手术室专用 带F8过滤</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铭铉、智迪锐、浩东</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88.00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78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141</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净化下回风口RG90</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1.名称：净化下回风口RG90</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2.规格：900x400 带F6过滤</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铭铉、智迪锐、浩东</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27.00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78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142</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净化下回风口RG60</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1.名称：净化下回风口RG60</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2.规格：600x400 带F6过滤</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铭铉、智迪锐、浩东</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26.00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78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143</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净化下回风口RG40</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1.名称：净化下回风口RG40</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2.规格：400x400 带F6过滤</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铭铉、智迪锐、浩东</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24.00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78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144</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方形散流器FS25</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1.名称：方形散流器</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2.规格：250*250mm</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铭铉、智迪锐、浩东</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5.00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78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145</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方形散流器FS40</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1.名称：方形散流器</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2.规格：400*400mm</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铭铉、智迪锐、浩东</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3.00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78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146</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散流器送风口XF</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1.名称：散流器送风口XF</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2.规格：250*250mm</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铭铉、智迪锐、浩东</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24.00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78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147</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风机盘管格栅回风口H1</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1.名称：风机盘管格栅回风口H1</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2.规格：500*300mm 附风量调节阀</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铭铉、智迪锐、浩东</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13.00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78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148</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风机盘管格栅回风口H1</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1.名称：风机盘管格栅回风口H1</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2.规格：700*300mm 附风量调节阀</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铭铉、智迪锐、浩东</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6.00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78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149</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风机盘管格栅回风口H1</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1.名称：风机盘管格栅回风口H1</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2.规格：900*300mm 附风量调节阀</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铭铉、智迪锐、浩东</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11.00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78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150</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风机盘管格栅回风口H1</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1.名称：风机盘管格栅回风口H1</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2.规格：100*300mm 附风量调节阀</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铭铉、智迪锐、浩东</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12.00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78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151</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风机盘管格栅回风口H1</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1.名称：风机盘管格栅回风口H1</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2.规格：600*300mm</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铭铉、智迪锐、浩东</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4.00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78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152</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风机盘管散流器送风口S60</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1.名称：风机盘管散流器送风口FS60</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2.规格：600*600mm</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铭铉、智迪锐、浩东</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23.00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78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153</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风机盘管散流器送风口FS40</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1.名称：风机盘管散流器送风口FS40</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2.规格：400*400mm</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铭铉、智迪锐、浩东</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23.00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54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154</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消声器</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1.名称：双腔微孔板消音器</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2.规格：320*250，L=1000mm</w:t>
                  </w:r>
                </w:p>
              </w:tc>
              <w:tc>
                <w:tcPr>
                  <w:tcW w:w="1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54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155</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消声器</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1.名称：双腔微孔板消音器</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2.规格：320*320，L=1000mm</w:t>
                  </w:r>
                </w:p>
              </w:tc>
              <w:tc>
                <w:tcPr>
                  <w:tcW w:w="1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54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156</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消声器</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1.名称：双腔微孔板消音器</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2.规格：320*320，L=2000mm</w:t>
                  </w:r>
                </w:p>
              </w:tc>
              <w:tc>
                <w:tcPr>
                  <w:tcW w:w="1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3.00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54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157</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消声器</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1.名称：双腔微孔板消音器</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2.规格：400*200，L=2000mm</w:t>
                  </w:r>
                </w:p>
              </w:tc>
              <w:tc>
                <w:tcPr>
                  <w:tcW w:w="1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54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158</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消声器</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1.名称：双腔微孔板消音器</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2.规格：400*320，L=2000mm</w:t>
                  </w:r>
                </w:p>
              </w:tc>
              <w:tc>
                <w:tcPr>
                  <w:tcW w:w="1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54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159</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消声器</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1.名称：双腔微孔板消音器</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2.规格：400*250，L=1000mm</w:t>
                  </w:r>
                </w:p>
              </w:tc>
              <w:tc>
                <w:tcPr>
                  <w:tcW w:w="1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54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160</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消声器</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1.名称：双腔微孔板消音器</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2.规格：400*320，L=1000mm</w:t>
                  </w:r>
                </w:p>
              </w:tc>
              <w:tc>
                <w:tcPr>
                  <w:tcW w:w="1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bdr w:val="single" w:color="000000" w:sz="4" w:space="0"/>
                      <w:lang w:bidi="ar"/>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304800" cy="304800"/>
                        <wp:effectExtent l="0" t="0" r="0" b="0"/>
                        <wp:wrapNone/>
                        <wp:docPr id="18" name="AutoShape_3"/>
                        <wp:cNvGraphicFramePr/>
                        <a:graphic xmlns:a="http://schemas.openxmlformats.org/drawingml/2006/main">
                          <a:graphicData uri="http://schemas.openxmlformats.org/drawingml/2006/picture">
                            <pic:pic xmlns:pic="http://schemas.openxmlformats.org/drawingml/2006/picture">
                              <pic:nvPicPr>
                                <pic:cNvPr id="18" name="AutoShape_3"/>
                                <pic:cNvPicPr/>
                              </pic:nvPicPr>
                              <pic:blipFill>
                                <a:blip r:embed="rId8"/>
                                <a:stretch>
                                  <a:fillRect/>
                                </a:stretch>
                              </pic:blipFill>
                              <pic:spPr>
                                <a:xfrm>
                                  <a:off x="0" y="0"/>
                                  <a:ext cx="304800" cy="304800"/>
                                </a:xfrm>
                                <a:prstGeom prst="rect">
                                  <a:avLst/>
                                </a:prstGeom>
                                <a:noFill/>
                                <a:ln>
                                  <a:noFill/>
                                </a:ln>
                              </pic:spPr>
                            </pic:pic>
                          </a:graphicData>
                        </a:graphic>
                      </wp:anchor>
                    </w:drawing>
                  </w:r>
                  <w:r>
                    <w:rPr>
                      <w:rFonts w:hint="eastAsia" w:ascii="宋体" w:hAnsi="宋体" w:cs="宋体"/>
                      <w:color w:val="auto"/>
                      <w:sz w:val="20"/>
                      <w:szCs w:val="20"/>
                      <w:highlight w:val="none"/>
                      <w:lang w:bidi="ar"/>
                    </w:rPr>
                    <w:t xml:space="preserve">3.00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bdr w:val="single" w:color="000000" w:sz="4" w:space="0"/>
                      <w:lang w:bidi="ar"/>
                    </w:rPr>
                    <w:drawing>
                      <wp:anchor distT="0" distB="0" distL="114300" distR="114300" simplePos="0" relativeHeight="251660288" behindDoc="0" locked="0" layoutInCell="1" allowOverlap="1">
                        <wp:simplePos x="0" y="0"/>
                        <wp:positionH relativeFrom="column">
                          <wp:posOffset>0</wp:posOffset>
                        </wp:positionH>
                        <wp:positionV relativeFrom="paragraph">
                          <wp:posOffset>0</wp:posOffset>
                        </wp:positionV>
                        <wp:extent cx="304800" cy="304800"/>
                        <wp:effectExtent l="0" t="0" r="0" b="0"/>
                        <wp:wrapNone/>
                        <wp:docPr id="14" name="AutoShape_3_SpCnt_1"/>
                        <wp:cNvGraphicFramePr/>
                        <a:graphic xmlns:a="http://schemas.openxmlformats.org/drawingml/2006/main">
                          <a:graphicData uri="http://schemas.openxmlformats.org/drawingml/2006/picture">
                            <pic:pic xmlns:pic="http://schemas.openxmlformats.org/drawingml/2006/picture">
                              <pic:nvPicPr>
                                <pic:cNvPr id="14" name="AutoShape_3_SpCnt_1"/>
                                <pic:cNvPicPr/>
                              </pic:nvPicPr>
                              <pic:blipFill>
                                <a:blip r:embed="rId8"/>
                                <a:stretch>
                                  <a:fillRect/>
                                </a:stretch>
                              </pic:blipFill>
                              <pic:spPr>
                                <a:xfrm>
                                  <a:off x="0" y="0"/>
                                  <a:ext cx="304800" cy="304800"/>
                                </a:xfrm>
                                <a:prstGeom prst="rect">
                                  <a:avLst/>
                                </a:prstGeom>
                                <a:noFill/>
                                <a:ln>
                                  <a:noFill/>
                                </a:ln>
                              </pic:spPr>
                            </pic:pic>
                          </a:graphicData>
                        </a:graphic>
                      </wp:anchor>
                    </w:drawing>
                  </w:r>
                </w:p>
              </w:tc>
            </w:tr>
            <w:tr>
              <w:tblPrEx>
                <w:tblCellMar>
                  <w:top w:w="0" w:type="dxa"/>
                  <w:left w:w="108" w:type="dxa"/>
                  <w:bottom w:w="0" w:type="dxa"/>
                  <w:right w:w="108" w:type="dxa"/>
                </w:tblCellMar>
              </w:tblPrEx>
              <w:trPr>
                <w:trHeight w:val="54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161</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消声器</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1.名称：双腔微孔板消音器</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2.规格：400*400，L=1000mm</w:t>
                  </w:r>
                </w:p>
              </w:tc>
              <w:tc>
                <w:tcPr>
                  <w:tcW w:w="1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54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162</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消声器</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1.名称：双腔微孔板消音器</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2.规格：400*400，L=2000mm</w:t>
                  </w:r>
                </w:p>
              </w:tc>
              <w:tc>
                <w:tcPr>
                  <w:tcW w:w="1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bdr w:val="single" w:color="000000" w:sz="4" w:space="0"/>
                      <w:lang w:bidi="ar"/>
                    </w:rPr>
                    <w:drawing>
                      <wp:anchor distT="0" distB="0" distL="114300" distR="114300" simplePos="0" relativeHeight="251661312" behindDoc="0" locked="0" layoutInCell="1" allowOverlap="1">
                        <wp:simplePos x="0" y="0"/>
                        <wp:positionH relativeFrom="column">
                          <wp:posOffset>0</wp:posOffset>
                        </wp:positionH>
                        <wp:positionV relativeFrom="paragraph">
                          <wp:posOffset>0</wp:posOffset>
                        </wp:positionV>
                        <wp:extent cx="304800" cy="304800"/>
                        <wp:effectExtent l="0" t="0" r="0" b="0"/>
                        <wp:wrapNone/>
                        <wp:docPr id="12" name="AutoShape_3_SpCnt_2"/>
                        <wp:cNvGraphicFramePr/>
                        <a:graphic xmlns:a="http://schemas.openxmlformats.org/drawingml/2006/main">
                          <a:graphicData uri="http://schemas.openxmlformats.org/drawingml/2006/picture">
                            <pic:pic xmlns:pic="http://schemas.openxmlformats.org/drawingml/2006/picture">
                              <pic:nvPicPr>
                                <pic:cNvPr id="12" name="AutoShape_3_SpCnt_2"/>
                                <pic:cNvPicPr/>
                              </pic:nvPicPr>
                              <pic:blipFill>
                                <a:blip r:embed="rId8"/>
                                <a:stretch>
                                  <a:fillRect/>
                                </a:stretch>
                              </pic:blipFill>
                              <pic:spPr>
                                <a:xfrm>
                                  <a:off x="0" y="0"/>
                                  <a:ext cx="304800" cy="304800"/>
                                </a:xfrm>
                                <a:prstGeom prst="rect">
                                  <a:avLst/>
                                </a:prstGeom>
                                <a:noFill/>
                                <a:ln>
                                  <a:noFill/>
                                </a:ln>
                              </pic:spPr>
                            </pic:pic>
                          </a:graphicData>
                        </a:graphic>
                      </wp:anchor>
                    </w:drawing>
                  </w:r>
                  <w:r>
                    <w:rPr>
                      <w:rFonts w:hint="eastAsia" w:ascii="宋体" w:hAnsi="宋体" w:cs="宋体"/>
                      <w:color w:val="auto"/>
                      <w:sz w:val="20"/>
                      <w:szCs w:val="20"/>
                      <w:highlight w:val="none"/>
                      <w:bdr w:val="single" w:color="000000" w:sz="4" w:space="0"/>
                      <w:lang w:bidi="ar"/>
                    </w:rPr>
                    <w:drawing>
                      <wp:anchor distT="0" distB="0" distL="114300" distR="114300" simplePos="0" relativeHeight="251662336" behindDoc="0" locked="0" layoutInCell="1" allowOverlap="1">
                        <wp:simplePos x="0" y="0"/>
                        <wp:positionH relativeFrom="column">
                          <wp:posOffset>0</wp:posOffset>
                        </wp:positionH>
                        <wp:positionV relativeFrom="paragraph">
                          <wp:posOffset>0</wp:posOffset>
                        </wp:positionV>
                        <wp:extent cx="304800" cy="304800"/>
                        <wp:effectExtent l="0" t="0" r="0" b="0"/>
                        <wp:wrapNone/>
                        <wp:docPr id="4" name="AutoShape_3_SpCnt_3"/>
                        <wp:cNvGraphicFramePr/>
                        <a:graphic xmlns:a="http://schemas.openxmlformats.org/drawingml/2006/main">
                          <a:graphicData uri="http://schemas.openxmlformats.org/drawingml/2006/picture">
                            <pic:pic xmlns:pic="http://schemas.openxmlformats.org/drawingml/2006/picture">
                              <pic:nvPicPr>
                                <pic:cNvPr id="4" name="AutoShape_3_SpCnt_3"/>
                                <pic:cNvPicPr/>
                              </pic:nvPicPr>
                              <pic:blipFill>
                                <a:blip r:embed="rId8"/>
                                <a:stretch>
                                  <a:fillRect/>
                                </a:stretch>
                              </pic:blipFill>
                              <pic:spPr>
                                <a:xfrm>
                                  <a:off x="0" y="0"/>
                                  <a:ext cx="304800" cy="304800"/>
                                </a:xfrm>
                                <a:prstGeom prst="rect">
                                  <a:avLst/>
                                </a:prstGeom>
                                <a:noFill/>
                                <a:ln>
                                  <a:noFill/>
                                </a:ln>
                              </pic:spPr>
                            </pic:pic>
                          </a:graphicData>
                        </a:graphic>
                      </wp:anchor>
                    </w:drawing>
                  </w:r>
                  <w:r>
                    <w:rPr>
                      <w:rFonts w:hint="eastAsia" w:ascii="宋体" w:hAnsi="宋体" w:cs="宋体"/>
                      <w:color w:val="auto"/>
                      <w:sz w:val="20"/>
                      <w:szCs w:val="20"/>
                      <w:highlight w:val="none"/>
                      <w:lang w:bidi="ar"/>
                    </w:rPr>
                    <w:t xml:space="preserve">1.00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bdr w:val="single" w:color="000000" w:sz="4" w:space="0"/>
                      <w:lang w:bidi="ar"/>
                    </w:rPr>
                    <w:drawing>
                      <wp:anchor distT="0" distB="0" distL="114300" distR="114300" simplePos="0" relativeHeight="251663360" behindDoc="0" locked="0" layoutInCell="1" allowOverlap="1">
                        <wp:simplePos x="0" y="0"/>
                        <wp:positionH relativeFrom="column">
                          <wp:posOffset>0</wp:posOffset>
                        </wp:positionH>
                        <wp:positionV relativeFrom="paragraph">
                          <wp:posOffset>0</wp:posOffset>
                        </wp:positionV>
                        <wp:extent cx="304800" cy="304800"/>
                        <wp:effectExtent l="0" t="0" r="0" b="0"/>
                        <wp:wrapNone/>
                        <wp:docPr id="9" name="AutoShape_3_SpCnt_4"/>
                        <wp:cNvGraphicFramePr/>
                        <a:graphic xmlns:a="http://schemas.openxmlformats.org/drawingml/2006/main">
                          <a:graphicData uri="http://schemas.openxmlformats.org/drawingml/2006/picture">
                            <pic:pic xmlns:pic="http://schemas.openxmlformats.org/drawingml/2006/picture">
                              <pic:nvPicPr>
                                <pic:cNvPr id="9" name="AutoShape_3_SpCnt_4"/>
                                <pic:cNvPicPr/>
                              </pic:nvPicPr>
                              <pic:blipFill>
                                <a:blip r:embed="rId8"/>
                                <a:stretch>
                                  <a:fillRect/>
                                </a:stretch>
                              </pic:blipFill>
                              <pic:spPr>
                                <a:xfrm>
                                  <a:off x="0" y="0"/>
                                  <a:ext cx="304800" cy="304800"/>
                                </a:xfrm>
                                <a:prstGeom prst="rect">
                                  <a:avLst/>
                                </a:prstGeom>
                                <a:noFill/>
                                <a:ln>
                                  <a:noFill/>
                                </a:ln>
                              </pic:spPr>
                            </pic:pic>
                          </a:graphicData>
                        </a:graphic>
                      </wp:anchor>
                    </w:drawing>
                  </w:r>
                  <w:r>
                    <w:rPr>
                      <w:rFonts w:hint="eastAsia" w:ascii="宋体" w:hAnsi="宋体" w:cs="宋体"/>
                      <w:color w:val="auto"/>
                      <w:sz w:val="20"/>
                      <w:szCs w:val="20"/>
                      <w:highlight w:val="none"/>
                      <w:bdr w:val="single" w:color="000000" w:sz="4" w:space="0"/>
                      <w:lang w:bidi="ar"/>
                    </w:rPr>
                    <w:drawing>
                      <wp:anchor distT="0" distB="0" distL="114300" distR="114300" simplePos="0" relativeHeight="251664384" behindDoc="0" locked="0" layoutInCell="1" allowOverlap="1">
                        <wp:simplePos x="0" y="0"/>
                        <wp:positionH relativeFrom="column">
                          <wp:posOffset>0</wp:posOffset>
                        </wp:positionH>
                        <wp:positionV relativeFrom="paragraph">
                          <wp:posOffset>0</wp:posOffset>
                        </wp:positionV>
                        <wp:extent cx="304800" cy="304800"/>
                        <wp:effectExtent l="0" t="0" r="0" b="0"/>
                        <wp:wrapNone/>
                        <wp:docPr id="13" name="AutoShape_3_SpCnt_5"/>
                        <wp:cNvGraphicFramePr/>
                        <a:graphic xmlns:a="http://schemas.openxmlformats.org/drawingml/2006/main">
                          <a:graphicData uri="http://schemas.openxmlformats.org/drawingml/2006/picture">
                            <pic:pic xmlns:pic="http://schemas.openxmlformats.org/drawingml/2006/picture">
                              <pic:nvPicPr>
                                <pic:cNvPr id="13" name="AutoShape_3_SpCnt_5"/>
                                <pic:cNvPicPr/>
                              </pic:nvPicPr>
                              <pic:blipFill>
                                <a:blip r:embed="rId8"/>
                                <a:stretch>
                                  <a:fillRect/>
                                </a:stretch>
                              </pic:blipFill>
                              <pic:spPr>
                                <a:xfrm>
                                  <a:off x="0" y="0"/>
                                  <a:ext cx="304800" cy="304800"/>
                                </a:xfrm>
                                <a:prstGeom prst="rect">
                                  <a:avLst/>
                                </a:prstGeom>
                                <a:noFill/>
                                <a:ln>
                                  <a:noFill/>
                                </a:ln>
                              </pic:spPr>
                            </pic:pic>
                          </a:graphicData>
                        </a:graphic>
                      </wp:anchor>
                    </w:drawing>
                  </w:r>
                </w:p>
              </w:tc>
            </w:tr>
            <w:tr>
              <w:tblPrEx>
                <w:tblCellMar>
                  <w:top w:w="0" w:type="dxa"/>
                  <w:left w:w="108" w:type="dxa"/>
                  <w:bottom w:w="0" w:type="dxa"/>
                  <w:right w:w="108" w:type="dxa"/>
                </w:tblCellMar>
              </w:tblPrEx>
              <w:trPr>
                <w:trHeight w:val="54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163</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消声器</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1.名称：双腔微孔板消音器</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2.规格：500*200，L=1000mm</w:t>
                  </w:r>
                </w:p>
              </w:tc>
              <w:tc>
                <w:tcPr>
                  <w:tcW w:w="1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54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164</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消声器</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1.名称：双腔微孔板消音器</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2.规格：500*400，L=2000mm</w:t>
                  </w:r>
                </w:p>
              </w:tc>
              <w:tc>
                <w:tcPr>
                  <w:tcW w:w="1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bdr w:val="single" w:color="000000" w:sz="4" w:space="0"/>
                      <w:lang w:bidi="ar"/>
                    </w:rPr>
                    <w:drawing>
                      <wp:anchor distT="0" distB="0" distL="114300" distR="114300" simplePos="0" relativeHeight="251665408" behindDoc="0" locked="0" layoutInCell="1" allowOverlap="1">
                        <wp:simplePos x="0" y="0"/>
                        <wp:positionH relativeFrom="column">
                          <wp:posOffset>0</wp:posOffset>
                        </wp:positionH>
                        <wp:positionV relativeFrom="paragraph">
                          <wp:posOffset>0</wp:posOffset>
                        </wp:positionV>
                        <wp:extent cx="304800" cy="304800"/>
                        <wp:effectExtent l="0" t="0" r="0" b="0"/>
                        <wp:wrapNone/>
                        <wp:docPr id="15" name="AutoShape_3_SpCnt_6"/>
                        <wp:cNvGraphicFramePr/>
                        <a:graphic xmlns:a="http://schemas.openxmlformats.org/drawingml/2006/main">
                          <a:graphicData uri="http://schemas.openxmlformats.org/drawingml/2006/picture">
                            <pic:pic xmlns:pic="http://schemas.openxmlformats.org/drawingml/2006/picture">
                              <pic:nvPicPr>
                                <pic:cNvPr id="15" name="AutoShape_3_SpCnt_6"/>
                                <pic:cNvPicPr/>
                              </pic:nvPicPr>
                              <pic:blipFill>
                                <a:blip r:embed="rId8"/>
                                <a:stretch>
                                  <a:fillRect/>
                                </a:stretch>
                              </pic:blipFill>
                              <pic:spPr>
                                <a:xfrm>
                                  <a:off x="0" y="0"/>
                                  <a:ext cx="304800" cy="304800"/>
                                </a:xfrm>
                                <a:prstGeom prst="rect">
                                  <a:avLst/>
                                </a:prstGeom>
                                <a:noFill/>
                                <a:ln>
                                  <a:noFill/>
                                </a:ln>
                              </pic:spPr>
                            </pic:pic>
                          </a:graphicData>
                        </a:graphic>
                      </wp:anchor>
                    </w:drawing>
                  </w:r>
                  <w:r>
                    <w:rPr>
                      <w:rFonts w:hint="eastAsia" w:ascii="宋体" w:hAnsi="宋体" w:cs="宋体"/>
                      <w:color w:val="auto"/>
                      <w:sz w:val="20"/>
                      <w:szCs w:val="20"/>
                      <w:highlight w:val="none"/>
                      <w:lang w:bidi="ar"/>
                    </w:rPr>
                    <w:t xml:space="preserve">1.00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bdr w:val="single" w:color="000000" w:sz="4" w:space="0"/>
                      <w:lang w:bidi="ar"/>
                    </w:rPr>
                    <w:drawing>
                      <wp:anchor distT="0" distB="0" distL="114300" distR="114300" simplePos="0" relativeHeight="251666432" behindDoc="0" locked="0" layoutInCell="1" allowOverlap="1">
                        <wp:simplePos x="0" y="0"/>
                        <wp:positionH relativeFrom="column">
                          <wp:posOffset>0</wp:posOffset>
                        </wp:positionH>
                        <wp:positionV relativeFrom="paragraph">
                          <wp:posOffset>0</wp:posOffset>
                        </wp:positionV>
                        <wp:extent cx="304800" cy="304800"/>
                        <wp:effectExtent l="0" t="0" r="0" b="0"/>
                        <wp:wrapNone/>
                        <wp:docPr id="8" name="AutoShape_3_SpCnt_7"/>
                        <wp:cNvGraphicFramePr/>
                        <a:graphic xmlns:a="http://schemas.openxmlformats.org/drawingml/2006/main">
                          <a:graphicData uri="http://schemas.openxmlformats.org/drawingml/2006/picture">
                            <pic:pic xmlns:pic="http://schemas.openxmlformats.org/drawingml/2006/picture">
                              <pic:nvPicPr>
                                <pic:cNvPr id="8" name="AutoShape_3_SpCnt_7"/>
                                <pic:cNvPicPr/>
                              </pic:nvPicPr>
                              <pic:blipFill>
                                <a:blip r:embed="rId8"/>
                                <a:stretch>
                                  <a:fillRect/>
                                </a:stretch>
                              </pic:blipFill>
                              <pic:spPr>
                                <a:xfrm>
                                  <a:off x="0" y="0"/>
                                  <a:ext cx="304800" cy="304800"/>
                                </a:xfrm>
                                <a:prstGeom prst="rect">
                                  <a:avLst/>
                                </a:prstGeom>
                                <a:noFill/>
                                <a:ln>
                                  <a:noFill/>
                                </a:ln>
                              </pic:spPr>
                            </pic:pic>
                          </a:graphicData>
                        </a:graphic>
                      </wp:anchor>
                    </w:drawing>
                  </w:r>
                </w:p>
              </w:tc>
            </w:tr>
            <w:tr>
              <w:tblPrEx>
                <w:tblCellMar>
                  <w:top w:w="0" w:type="dxa"/>
                  <w:left w:w="108" w:type="dxa"/>
                  <w:bottom w:w="0" w:type="dxa"/>
                  <w:right w:w="108" w:type="dxa"/>
                </w:tblCellMar>
              </w:tblPrEx>
              <w:trPr>
                <w:trHeight w:val="54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165</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消声器</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1.名称：双腔微孔板消音器</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2.规格：450*450，L=2000mm</w:t>
                  </w:r>
                </w:p>
              </w:tc>
              <w:tc>
                <w:tcPr>
                  <w:tcW w:w="1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54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166</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消声器</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1.名称：双腔微孔板消音器</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2.规格：500*400，L=1000mm</w:t>
                  </w:r>
                </w:p>
              </w:tc>
              <w:tc>
                <w:tcPr>
                  <w:tcW w:w="1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7.00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54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167</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消声器</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1.名称：双腔微孔板消音器</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2.规格：500*400，L=1000mm，玻璃钢材质</w:t>
                  </w:r>
                </w:p>
              </w:tc>
              <w:tc>
                <w:tcPr>
                  <w:tcW w:w="1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bdr w:val="single" w:color="000000" w:sz="4" w:space="0"/>
                      <w:lang w:bidi="ar"/>
                    </w:rPr>
                    <w:drawing>
                      <wp:anchor distT="0" distB="0" distL="114300" distR="114300" simplePos="0" relativeHeight="251667456" behindDoc="0" locked="0" layoutInCell="1" allowOverlap="1">
                        <wp:simplePos x="0" y="0"/>
                        <wp:positionH relativeFrom="column">
                          <wp:posOffset>0</wp:posOffset>
                        </wp:positionH>
                        <wp:positionV relativeFrom="paragraph">
                          <wp:posOffset>0</wp:posOffset>
                        </wp:positionV>
                        <wp:extent cx="304800" cy="304800"/>
                        <wp:effectExtent l="0" t="0" r="0" b="0"/>
                        <wp:wrapNone/>
                        <wp:docPr id="5" name="AutoShape_3_SpCnt_8"/>
                        <wp:cNvGraphicFramePr/>
                        <a:graphic xmlns:a="http://schemas.openxmlformats.org/drawingml/2006/main">
                          <a:graphicData uri="http://schemas.openxmlformats.org/drawingml/2006/picture">
                            <pic:pic xmlns:pic="http://schemas.openxmlformats.org/drawingml/2006/picture">
                              <pic:nvPicPr>
                                <pic:cNvPr id="5" name="AutoShape_3_SpCnt_8"/>
                                <pic:cNvPicPr/>
                              </pic:nvPicPr>
                              <pic:blipFill>
                                <a:blip r:embed="rId8"/>
                                <a:stretch>
                                  <a:fillRect/>
                                </a:stretch>
                              </pic:blipFill>
                              <pic:spPr>
                                <a:xfrm>
                                  <a:off x="0" y="0"/>
                                  <a:ext cx="304800" cy="304800"/>
                                </a:xfrm>
                                <a:prstGeom prst="rect">
                                  <a:avLst/>
                                </a:prstGeom>
                                <a:noFill/>
                                <a:ln>
                                  <a:noFill/>
                                </a:ln>
                              </pic:spPr>
                            </pic:pic>
                          </a:graphicData>
                        </a:graphic>
                      </wp:anchor>
                    </w:drawing>
                  </w:r>
                  <w:r>
                    <w:rPr>
                      <w:rFonts w:hint="eastAsia" w:ascii="宋体" w:hAnsi="宋体" w:cs="宋体"/>
                      <w:color w:val="auto"/>
                      <w:sz w:val="20"/>
                      <w:szCs w:val="20"/>
                      <w:highlight w:val="none"/>
                      <w:lang w:bidi="ar"/>
                    </w:rPr>
                    <w:t xml:space="preserve">4.00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bdr w:val="single" w:color="000000" w:sz="4" w:space="0"/>
                      <w:lang w:bidi="ar"/>
                    </w:rPr>
                    <w:drawing>
                      <wp:anchor distT="0" distB="0" distL="114300" distR="114300" simplePos="0" relativeHeight="251668480" behindDoc="0" locked="0" layoutInCell="1" allowOverlap="1">
                        <wp:simplePos x="0" y="0"/>
                        <wp:positionH relativeFrom="column">
                          <wp:posOffset>0</wp:posOffset>
                        </wp:positionH>
                        <wp:positionV relativeFrom="paragraph">
                          <wp:posOffset>0</wp:posOffset>
                        </wp:positionV>
                        <wp:extent cx="304800" cy="304800"/>
                        <wp:effectExtent l="0" t="0" r="0" b="0"/>
                        <wp:wrapNone/>
                        <wp:docPr id="10" name="AutoShape_3_SpCnt_9"/>
                        <wp:cNvGraphicFramePr/>
                        <a:graphic xmlns:a="http://schemas.openxmlformats.org/drawingml/2006/main">
                          <a:graphicData uri="http://schemas.openxmlformats.org/drawingml/2006/picture">
                            <pic:pic xmlns:pic="http://schemas.openxmlformats.org/drawingml/2006/picture">
                              <pic:nvPicPr>
                                <pic:cNvPr id="10" name="AutoShape_3_SpCnt_9"/>
                                <pic:cNvPicPr/>
                              </pic:nvPicPr>
                              <pic:blipFill>
                                <a:blip r:embed="rId8"/>
                                <a:stretch>
                                  <a:fillRect/>
                                </a:stretch>
                              </pic:blipFill>
                              <pic:spPr>
                                <a:xfrm>
                                  <a:off x="0" y="0"/>
                                  <a:ext cx="304800" cy="304800"/>
                                </a:xfrm>
                                <a:prstGeom prst="rect">
                                  <a:avLst/>
                                </a:prstGeom>
                                <a:noFill/>
                                <a:ln>
                                  <a:noFill/>
                                </a:ln>
                              </pic:spPr>
                            </pic:pic>
                          </a:graphicData>
                        </a:graphic>
                      </wp:anchor>
                    </w:drawing>
                  </w:r>
                </w:p>
              </w:tc>
            </w:tr>
            <w:tr>
              <w:tblPrEx>
                <w:tblCellMar>
                  <w:top w:w="0" w:type="dxa"/>
                  <w:left w:w="108" w:type="dxa"/>
                  <w:bottom w:w="0" w:type="dxa"/>
                  <w:right w:w="108" w:type="dxa"/>
                </w:tblCellMar>
              </w:tblPrEx>
              <w:trPr>
                <w:trHeight w:val="54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168</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消声器</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1.名称：双腔微孔板消音器</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2.规格：630*400，L=1000mm</w:t>
                  </w:r>
                </w:p>
              </w:tc>
              <w:tc>
                <w:tcPr>
                  <w:tcW w:w="1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bdr w:val="single" w:color="000000" w:sz="4" w:space="0"/>
                      <w:lang w:bidi="ar"/>
                    </w:rPr>
                    <w:drawing>
                      <wp:anchor distT="0" distB="0" distL="114300" distR="114300" simplePos="0" relativeHeight="251669504" behindDoc="0" locked="0" layoutInCell="1" allowOverlap="1">
                        <wp:simplePos x="0" y="0"/>
                        <wp:positionH relativeFrom="column">
                          <wp:posOffset>0</wp:posOffset>
                        </wp:positionH>
                        <wp:positionV relativeFrom="paragraph">
                          <wp:posOffset>0</wp:posOffset>
                        </wp:positionV>
                        <wp:extent cx="304800" cy="304800"/>
                        <wp:effectExtent l="0" t="0" r="0" b="0"/>
                        <wp:wrapNone/>
                        <wp:docPr id="7" name="AutoShape_3_SpCnt_10"/>
                        <wp:cNvGraphicFramePr/>
                        <a:graphic xmlns:a="http://schemas.openxmlformats.org/drawingml/2006/main">
                          <a:graphicData uri="http://schemas.openxmlformats.org/drawingml/2006/picture">
                            <pic:pic xmlns:pic="http://schemas.openxmlformats.org/drawingml/2006/picture">
                              <pic:nvPicPr>
                                <pic:cNvPr id="7" name="AutoShape_3_SpCnt_10"/>
                                <pic:cNvPicPr/>
                              </pic:nvPicPr>
                              <pic:blipFill>
                                <a:blip r:embed="rId8"/>
                                <a:stretch>
                                  <a:fillRect/>
                                </a:stretch>
                              </pic:blipFill>
                              <pic:spPr>
                                <a:xfrm>
                                  <a:off x="0" y="0"/>
                                  <a:ext cx="304800" cy="304800"/>
                                </a:xfrm>
                                <a:prstGeom prst="rect">
                                  <a:avLst/>
                                </a:prstGeom>
                                <a:noFill/>
                                <a:ln>
                                  <a:noFill/>
                                </a:ln>
                              </pic:spPr>
                            </pic:pic>
                          </a:graphicData>
                        </a:graphic>
                      </wp:anchor>
                    </w:drawing>
                  </w:r>
                  <w:r>
                    <w:rPr>
                      <w:rFonts w:hint="eastAsia" w:ascii="宋体" w:hAnsi="宋体" w:cs="宋体"/>
                      <w:color w:val="auto"/>
                      <w:sz w:val="20"/>
                      <w:szCs w:val="20"/>
                      <w:highlight w:val="none"/>
                      <w:lang w:bidi="ar"/>
                    </w:rPr>
                    <w:t xml:space="preserve">7.00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bdr w:val="single" w:color="000000" w:sz="4" w:space="0"/>
                      <w:lang w:bidi="ar"/>
                    </w:rPr>
                    <w:drawing>
                      <wp:anchor distT="0" distB="0" distL="114300" distR="114300" simplePos="0" relativeHeight="251670528" behindDoc="0" locked="0" layoutInCell="1" allowOverlap="1">
                        <wp:simplePos x="0" y="0"/>
                        <wp:positionH relativeFrom="column">
                          <wp:posOffset>0</wp:posOffset>
                        </wp:positionH>
                        <wp:positionV relativeFrom="paragraph">
                          <wp:posOffset>0</wp:posOffset>
                        </wp:positionV>
                        <wp:extent cx="304800" cy="304800"/>
                        <wp:effectExtent l="0" t="0" r="0" b="0"/>
                        <wp:wrapNone/>
                        <wp:docPr id="16" name="AutoShape_3_SpCnt_11"/>
                        <wp:cNvGraphicFramePr/>
                        <a:graphic xmlns:a="http://schemas.openxmlformats.org/drawingml/2006/main">
                          <a:graphicData uri="http://schemas.openxmlformats.org/drawingml/2006/picture">
                            <pic:pic xmlns:pic="http://schemas.openxmlformats.org/drawingml/2006/picture">
                              <pic:nvPicPr>
                                <pic:cNvPr id="16" name="AutoShape_3_SpCnt_11"/>
                                <pic:cNvPicPr/>
                              </pic:nvPicPr>
                              <pic:blipFill>
                                <a:blip r:embed="rId8"/>
                                <a:stretch>
                                  <a:fillRect/>
                                </a:stretch>
                              </pic:blipFill>
                              <pic:spPr>
                                <a:xfrm>
                                  <a:off x="0" y="0"/>
                                  <a:ext cx="304800" cy="304800"/>
                                </a:xfrm>
                                <a:prstGeom prst="rect">
                                  <a:avLst/>
                                </a:prstGeom>
                                <a:noFill/>
                                <a:ln>
                                  <a:noFill/>
                                </a:ln>
                              </pic:spPr>
                            </pic:pic>
                          </a:graphicData>
                        </a:graphic>
                      </wp:anchor>
                    </w:drawing>
                  </w:r>
                </w:p>
              </w:tc>
            </w:tr>
            <w:tr>
              <w:tblPrEx>
                <w:tblCellMar>
                  <w:top w:w="0" w:type="dxa"/>
                  <w:left w:w="108" w:type="dxa"/>
                  <w:bottom w:w="0" w:type="dxa"/>
                  <w:right w:w="108" w:type="dxa"/>
                </w:tblCellMar>
              </w:tblPrEx>
              <w:trPr>
                <w:trHeight w:val="54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169</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消声器</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1.名称：双腔微孔板消音器</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2.规格：630*400，L=2000mm</w:t>
                  </w:r>
                </w:p>
              </w:tc>
              <w:tc>
                <w:tcPr>
                  <w:tcW w:w="1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bdr w:val="single" w:color="000000" w:sz="4" w:space="0"/>
                      <w:lang w:bidi="ar"/>
                    </w:rPr>
                    <w:drawing>
                      <wp:anchor distT="0" distB="0" distL="114300" distR="114300" simplePos="0" relativeHeight="251671552" behindDoc="0" locked="0" layoutInCell="1" allowOverlap="1">
                        <wp:simplePos x="0" y="0"/>
                        <wp:positionH relativeFrom="column">
                          <wp:posOffset>0</wp:posOffset>
                        </wp:positionH>
                        <wp:positionV relativeFrom="paragraph">
                          <wp:posOffset>0</wp:posOffset>
                        </wp:positionV>
                        <wp:extent cx="304800" cy="304800"/>
                        <wp:effectExtent l="0" t="0" r="0" b="0"/>
                        <wp:wrapNone/>
                        <wp:docPr id="17" name="AutoShape_3_SpCnt_12"/>
                        <wp:cNvGraphicFramePr/>
                        <a:graphic xmlns:a="http://schemas.openxmlformats.org/drawingml/2006/main">
                          <a:graphicData uri="http://schemas.openxmlformats.org/drawingml/2006/picture">
                            <pic:pic xmlns:pic="http://schemas.openxmlformats.org/drawingml/2006/picture">
                              <pic:nvPicPr>
                                <pic:cNvPr id="17" name="AutoShape_3_SpCnt_12"/>
                                <pic:cNvPicPr/>
                              </pic:nvPicPr>
                              <pic:blipFill>
                                <a:blip r:embed="rId8"/>
                                <a:stretch>
                                  <a:fillRect/>
                                </a:stretch>
                              </pic:blipFill>
                              <pic:spPr>
                                <a:xfrm>
                                  <a:off x="0" y="0"/>
                                  <a:ext cx="304800" cy="304800"/>
                                </a:xfrm>
                                <a:prstGeom prst="rect">
                                  <a:avLst/>
                                </a:prstGeom>
                                <a:noFill/>
                                <a:ln>
                                  <a:noFill/>
                                </a:ln>
                              </pic:spPr>
                            </pic:pic>
                          </a:graphicData>
                        </a:graphic>
                      </wp:anchor>
                    </w:drawing>
                  </w:r>
                  <w:r>
                    <w:rPr>
                      <w:rFonts w:hint="eastAsia" w:ascii="宋体" w:hAnsi="宋体" w:cs="宋体"/>
                      <w:color w:val="auto"/>
                      <w:sz w:val="20"/>
                      <w:szCs w:val="20"/>
                      <w:highlight w:val="none"/>
                      <w:bdr w:val="single" w:color="000000" w:sz="4" w:space="0"/>
                      <w:lang w:bidi="ar"/>
                    </w:rPr>
                    <w:drawing>
                      <wp:anchor distT="0" distB="0" distL="114300" distR="114300" simplePos="0" relativeHeight="251672576" behindDoc="0" locked="0" layoutInCell="1" allowOverlap="1">
                        <wp:simplePos x="0" y="0"/>
                        <wp:positionH relativeFrom="column">
                          <wp:posOffset>0</wp:posOffset>
                        </wp:positionH>
                        <wp:positionV relativeFrom="paragraph">
                          <wp:posOffset>0</wp:posOffset>
                        </wp:positionV>
                        <wp:extent cx="304800" cy="304800"/>
                        <wp:effectExtent l="0" t="0" r="0" b="0"/>
                        <wp:wrapNone/>
                        <wp:docPr id="19" name="AutoShape_3_SpCnt_13"/>
                        <wp:cNvGraphicFramePr/>
                        <a:graphic xmlns:a="http://schemas.openxmlformats.org/drawingml/2006/main">
                          <a:graphicData uri="http://schemas.openxmlformats.org/drawingml/2006/picture">
                            <pic:pic xmlns:pic="http://schemas.openxmlformats.org/drawingml/2006/picture">
                              <pic:nvPicPr>
                                <pic:cNvPr id="19" name="AutoShape_3_SpCnt_13"/>
                                <pic:cNvPicPr/>
                              </pic:nvPicPr>
                              <pic:blipFill>
                                <a:blip r:embed="rId8"/>
                                <a:stretch>
                                  <a:fillRect/>
                                </a:stretch>
                              </pic:blipFill>
                              <pic:spPr>
                                <a:xfrm>
                                  <a:off x="0" y="0"/>
                                  <a:ext cx="304800" cy="304800"/>
                                </a:xfrm>
                                <a:prstGeom prst="rect">
                                  <a:avLst/>
                                </a:prstGeom>
                                <a:noFill/>
                                <a:ln>
                                  <a:noFill/>
                                </a:ln>
                              </pic:spPr>
                            </pic:pic>
                          </a:graphicData>
                        </a:graphic>
                      </wp:anchor>
                    </w:drawing>
                  </w:r>
                  <w:r>
                    <w:rPr>
                      <w:rFonts w:hint="eastAsia" w:ascii="宋体" w:hAnsi="宋体" w:cs="宋体"/>
                      <w:color w:val="auto"/>
                      <w:sz w:val="20"/>
                      <w:szCs w:val="20"/>
                      <w:highlight w:val="none"/>
                      <w:lang w:bidi="ar"/>
                    </w:rPr>
                    <w:t xml:space="preserve">2.00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bdr w:val="single" w:color="000000" w:sz="4" w:space="0"/>
                      <w:lang w:bidi="ar"/>
                    </w:rPr>
                    <w:drawing>
                      <wp:anchor distT="0" distB="0" distL="114300" distR="114300" simplePos="0" relativeHeight="251673600" behindDoc="0" locked="0" layoutInCell="1" allowOverlap="1">
                        <wp:simplePos x="0" y="0"/>
                        <wp:positionH relativeFrom="column">
                          <wp:posOffset>0</wp:posOffset>
                        </wp:positionH>
                        <wp:positionV relativeFrom="paragraph">
                          <wp:posOffset>0</wp:posOffset>
                        </wp:positionV>
                        <wp:extent cx="304800" cy="304800"/>
                        <wp:effectExtent l="0" t="0" r="0" b="0"/>
                        <wp:wrapNone/>
                        <wp:docPr id="11" name="AutoShape_3_SpCnt_14"/>
                        <wp:cNvGraphicFramePr/>
                        <a:graphic xmlns:a="http://schemas.openxmlformats.org/drawingml/2006/main">
                          <a:graphicData uri="http://schemas.openxmlformats.org/drawingml/2006/picture">
                            <pic:pic xmlns:pic="http://schemas.openxmlformats.org/drawingml/2006/picture">
                              <pic:nvPicPr>
                                <pic:cNvPr id="11" name="AutoShape_3_SpCnt_14"/>
                                <pic:cNvPicPr/>
                              </pic:nvPicPr>
                              <pic:blipFill>
                                <a:blip r:embed="rId8"/>
                                <a:stretch>
                                  <a:fillRect/>
                                </a:stretch>
                              </pic:blipFill>
                              <pic:spPr>
                                <a:xfrm>
                                  <a:off x="0" y="0"/>
                                  <a:ext cx="304800" cy="304800"/>
                                </a:xfrm>
                                <a:prstGeom prst="rect">
                                  <a:avLst/>
                                </a:prstGeom>
                                <a:noFill/>
                                <a:ln>
                                  <a:noFill/>
                                </a:ln>
                              </pic:spPr>
                            </pic:pic>
                          </a:graphicData>
                        </a:graphic>
                      </wp:anchor>
                    </w:drawing>
                  </w:r>
                  <w:r>
                    <w:rPr>
                      <w:rFonts w:hint="eastAsia" w:ascii="宋体" w:hAnsi="宋体" w:cs="宋体"/>
                      <w:color w:val="auto"/>
                      <w:sz w:val="20"/>
                      <w:szCs w:val="20"/>
                      <w:highlight w:val="none"/>
                      <w:bdr w:val="single" w:color="000000" w:sz="4" w:space="0"/>
                      <w:lang w:bidi="ar"/>
                    </w:rPr>
                    <w:drawing>
                      <wp:anchor distT="0" distB="0" distL="114300" distR="114300" simplePos="0" relativeHeight="251674624" behindDoc="0" locked="0" layoutInCell="1" allowOverlap="1">
                        <wp:simplePos x="0" y="0"/>
                        <wp:positionH relativeFrom="column">
                          <wp:posOffset>0</wp:posOffset>
                        </wp:positionH>
                        <wp:positionV relativeFrom="paragraph">
                          <wp:posOffset>0</wp:posOffset>
                        </wp:positionV>
                        <wp:extent cx="304800" cy="304800"/>
                        <wp:effectExtent l="0" t="0" r="0" b="0"/>
                        <wp:wrapNone/>
                        <wp:docPr id="3" name="AutoShape_3_SpCnt_15"/>
                        <wp:cNvGraphicFramePr/>
                        <a:graphic xmlns:a="http://schemas.openxmlformats.org/drawingml/2006/main">
                          <a:graphicData uri="http://schemas.openxmlformats.org/drawingml/2006/picture">
                            <pic:pic xmlns:pic="http://schemas.openxmlformats.org/drawingml/2006/picture">
                              <pic:nvPicPr>
                                <pic:cNvPr id="3" name="AutoShape_3_SpCnt_15"/>
                                <pic:cNvPicPr/>
                              </pic:nvPicPr>
                              <pic:blipFill>
                                <a:blip r:embed="rId8"/>
                                <a:stretch>
                                  <a:fillRect/>
                                </a:stretch>
                              </pic:blipFill>
                              <pic:spPr>
                                <a:xfrm>
                                  <a:off x="0" y="0"/>
                                  <a:ext cx="304800" cy="304800"/>
                                </a:xfrm>
                                <a:prstGeom prst="rect">
                                  <a:avLst/>
                                </a:prstGeom>
                                <a:noFill/>
                                <a:ln>
                                  <a:noFill/>
                                </a:ln>
                              </pic:spPr>
                            </pic:pic>
                          </a:graphicData>
                        </a:graphic>
                      </wp:anchor>
                    </w:drawing>
                  </w:r>
                </w:p>
              </w:tc>
            </w:tr>
            <w:tr>
              <w:tblPrEx>
                <w:tblCellMar>
                  <w:top w:w="0" w:type="dxa"/>
                  <w:left w:w="108" w:type="dxa"/>
                  <w:bottom w:w="0" w:type="dxa"/>
                  <w:right w:w="108" w:type="dxa"/>
                </w:tblCellMar>
              </w:tblPrEx>
              <w:trPr>
                <w:trHeight w:val="54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170</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消声器</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1.名称：双腔微孔板消音器</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2.规格：630*500，L=1000mm</w:t>
                  </w:r>
                </w:p>
              </w:tc>
              <w:tc>
                <w:tcPr>
                  <w:tcW w:w="1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bdr w:val="single" w:color="000000" w:sz="4" w:space="0"/>
                      <w:lang w:bidi="ar"/>
                    </w:rPr>
                    <w:drawing>
                      <wp:anchor distT="0" distB="0" distL="114300" distR="114300" simplePos="0" relativeHeight="251675648" behindDoc="0" locked="0" layoutInCell="1" allowOverlap="1">
                        <wp:simplePos x="0" y="0"/>
                        <wp:positionH relativeFrom="column">
                          <wp:posOffset>0</wp:posOffset>
                        </wp:positionH>
                        <wp:positionV relativeFrom="paragraph">
                          <wp:posOffset>0</wp:posOffset>
                        </wp:positionV>
                        <wp:extent cx="304800" cy="304800"/>
                        <wp:effectExtent l="0" t="0" r="0" b="0"/>
                        <wp:wrapNone/>
                        <wp:docPr id="6" name="AutoShape_3_SpCnt_16"/>
                        <wp:cNvGraphicFramePr/>
                        <a:graphic xmlns:a="http://schemas.openxmlformats.org/drawingml/2006/main">
                          <a:graphicData uri="http://schemas.openxmlformats.org/drawingml/2006/picture">
                            <pic:pic xmlns:pic="http://schemas.openxmlformats.org/drawingml/2006/picture">
                              <pic:nvPicPr>
                                <pic:cNvPr id="6" name="AutoShape_3_SpCnt_16"/>
                                <pic:cNvPicPr/>
                              </pic:nvPicPr>
                              <pic:blipFill>
                                <a:blip r:embed="rId8"/>
                                <a:stretch>
                                  <a:fillRect/>
                                </a:stretch>
                              </pic:blipFill>
                              <pic:spPr>
                                <a:xfrm>
                                  <a:off x="0" y="0"/>
                                  <a:ext cx="304800" cy="304800"/>
                                </a:xfrm>
                                <a:prstGeom prst="rect">
                                  <a:avLst/>
                                </a:prstGeom>
                                <a:noFill/>
                                <a:ln>
                                  <a:noFill/>
                                </a:ln>
                              </pic:spPr>
                            </pic:pic>
                          </a:graphicData>
                        </a:graphic>
                      </wp:anchor>
                    </w:drawing>
                  </w:r>
                  <w:r>
                    <w:rPr>
                      <w:rFonts w:hint="eastAsia" w:ascii="宋体" w:hAnsi="宋体" w:cs="宋体"/>
                      <w:color w:val="auto"/>
                      <w:sz w:val="20"/>
                      <w:szCs w:val="20"/>
                      <w:highlight w:val="none"/>
                      <w:lang w:bidi="ar"/>
                    </w:rPr>
                    <w:t xml:space="preserve">4.00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bdr w:val="single" w:color="000000" w:sz="4" w:space="0"/>
                      <w:lang w:bidi="ar"/>
                    </w:rPr>
                    <w:drawing>
                      <wp:anchor distT="0" distB="0" distL="114300" distR="114300" simplePos="0" relativeHeight="251676672" behindDoc="0" locked="0" layoutInCell="1" allowOverlap="1">
                        <wp:simplePos x="0" y="0"/>
                        <wp:positionH relativeFrom="column">
                          <wp:posOffset>0</wp:posOffset>
                        </wp:positionH>
                        <wp:positionV relativeFrom="paragraph">
                          <wp:posOffset>0</wp:posOffset>
                        </wp:positionV>
                        <wp:extent cx="304800" cy="304800"/>
                        <wp:effectExtent l="0" t="0" r="0" b="0"/>
                        <wp:wrapNone/>
                        <wp:docPr id="1" name="AutoShape_3_SpCnt_17"/>
                        <wp:cNvGraphicFramePr/>
                        <a:graphic xmlns:a="http://schemas.openxmlformats.org/drawingml/2006/main">
                          <a:graphicData uri="http://schemas.openxmlformats.org/drawingml/2006/picture">
                            <pic:pic xmlns:pic="http://schemas.openxmlformats.org/drawingml/2006/picture">
                              <pic:nvPicPr>
                                <pic:cNvPr id="1" name="AutoShape_3_SpCnt_17"/>
                                <pic:cNvPicPr/>
                              </pic:nvPicPr>
                              <pic:blipFill>
                                <a:blip r:embed="rId8"/>
                                <a:stretch>
                                  <a:fillRect/>
                                </a:stretch>
                              </pic:blipFill>
                              <pic:spPr>
                                <a:xfrm>
                                  <a:off x="0" y="0"/>
                                  <a:ext cx="304800" cy="304800"/>
                                </a:xfrm>
                                <a:prstGeom prst="rect">
                                  <a:avLst/>
                                </a:prstGeom>
                                <a:noFill/>
                                <a:ln>
                                  <a:noFill/>
                                </a:ln>
                              </pic:spPr>
                            </pic:pic>
                          </a:graphicData>
                        </a:graphic>
                      </wp:anchor>
                    </w:drawing>
                  </w:r>
                </w:p>
              </w:tc>
            </w:tr>
            <w:tr>
              <w:tblPrEx>
                <w:tblCellMar>
                  <w:top w:w="0" w:type="dxa"/>
                  <w:left w:w="108" w:type="dxa"/>
                  <w:bottom w:w="0" w:type="dxa"/>
                  <w:right w:w="108" w:type="dxa"/>
                </w:tblCellMar>
              </w:tblPrEx>
              <w:trPr>
                <w:trHeight w:val="54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171</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消声器</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1.名称：双腔微孔板消音器</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2.规格：630*500，L=2000mm</w:t>
                  </w:r>
                </w:p>
              </w:tc>
              <w:tc>
                <w:tcPr>
                  <w:tcW w:w="1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bdr w:val="single" w:color="000000" w:sz="4" w:space="0"/>
                      <w:lang w:bidi="ar"/>
                    </w:rPr>
                    <w:drawing>
                      <wp:anchor distT="0" distB="0" distL="114300" distR="114300" simplePos="0" relativeHeight="251677696" behindDoc="0" locked="0" layoutInCell="1" allowOverlap="1">
                        <wp:simplePos x="0" y="0"/>
                        <wp:positionH relativeFrom="column">
                          <wp:posOffset>0</wp:posOffset>
                        </wp:positionH>
                        <wp:positionV relativeFrom="paragraph">
                          <wp:posOffset>0</wp:posOffset>
                        </wp:positionV>
                        <wp:extent cx="304800" cy="304800"/>
                        <wp:effectExtent l="0" t="0" r="0" b="0"/>
                        <wp:wrapNone/>
                        <wp:docPr id="2" name="AutoShape_3_SpCnt_18"/>
                        <wp:cNvGraphicFramePr/>
                        <a:graphic xmlns:a="http://schemas.openxmlformats.org/drawingml/2006/main">
                          <a:graphicData uri="http://schemas.openxmlformats.org/drawingml/2006/picture">
                            <pic:pic xmlns:pic="http://schemas.openxmlformats.org/drawingml/2006/picture">
                              <pic:nvPicPr>
                                <pic:cNvPr id="2" name="AutoShape_3_SpCnt_18"/>
                                <pic:cNvPicPr/>
                              </pic:nvPicPr>
                              <pic:blipFill>
                                <a:blip r:embed="rId8"/>
                                <a:stretch>
                                  <a:fillRect/>
                                </a:stretch>
                              </pic:blipFill>
                              <pic:spPr>
                                <a:xfrm>
                                  <a:off x="0" y="0"/>
                                  <a:ext cx="304800" cy="304800"/>
                                </a:xfrm>
                                <a:prstGeom prst="rect">
                                  <a:avLst/>
                                </a:prstGeom>
                                <a:noFill/>
                                <a:ln>
                                  <a:noFill/>
                                </a:ln>
                              </pic:spPr>
                            </pic:pic>
                          </a:graphicData>
                        </a:graphic>
                      </wp:anchor>
                    </w:drawing>
                  </w:r>
                  <w:r>
                    <w:rPr>
                      <w:rFonts w:hint="eastAsia" w:ascii="宋体" w:hAnsi="宋体" w:cs="宋体"/>
                      <w:color w:val="auto"/>
                      <w:sz w:val="20"/>
                      <w:szCs w:val="20"/>
                      <w:highlight w:val="none"/>
                      <w:bdr w:val="single" w:color="000000" w:sz="4" w:space="0"/>
                      <w:lang w:bidi="ar"/>
                    </w:rPr>
                    <w:drawing>
                      <wp:anchor distT="0" distB="0" distL="114300" distR="114300" simplePos="0" relativeHeight="251678720" behindDoc="0" locked="0" layoutInCell="1" allowOverlap="1">
                        <wp:simplePos x="0" y="0"/>
                        <wp:positionH relativeFrom="column">
                          <wp:posOffset>0</wp:posOffset>
                        </wp:positionH>
                        <wp:positionV relativeFrom="paragraph">
                          <wp:posOffset>0</wp:posOffset>
                        </wp:positionV>
                        <wp:extent cx="304800" cy="304800"/>
                        <wp:effectExtent l="0" t="0" r="0" b="0"/>
                        <wp:wrapNone/>
                        <wp:docPr id="81" name="AutoShape_3_SpCnt_19"/>
                        <wp:cNvGraphicFramePr/>
                        <a:graphic xmlns:a="http://schemas.openxmlformats.org/drawingml/2006/main">
                          <a:graphicData uri="http://schemas.openxmlformats.org/drawingml/2006/picture">
                            <pic:pic xmlns:pic="http://schemas.openxmlformats.org/drawingml/2006/picture">
                              <pic:nvPicPr>
                                <pic:cNvPr id="81" name="AutoShape_3_SpCnt_19"/>
                                <pic:cNvPicPr/>
                              </pic:nvPicPr>
                              <pic:blipFill>
                                <a:blip r:embed="rId8"/>
                                <a:stretch>
                                  <a:fillRect/>
                                </a:stretch>
                              </pic:blipFill>
                              <pic:spPr>
                                <a:xfrm>
                                  <a:off x="0" y="0"/>
                                  <a:ext cx="304800" cy="304800"/>
                                </a:xfrm>
                                <a:prstGeom prst="rect">
                                  <a:avLst/>
                                </a:prstGeom>
                                <a:noFill/>
                                <a:ln>
                                  <a:noFill/>
                                </a:ln>
                              </pic:spPr>
                            </pic:pic>
                          </a:graphicData>
                        </a:graphic>
                      </wp:anchor>
                    </w:drawing>
                  </w:r>
                  <w:r>
                    <w:rPr>
                      <w:rFonts w:hint="eastAsia" w:ascii="宋体" w:hAnsi="宋体" w:cs="宋体"/>
                      <w:color w:val="auto"/>
                      <w:sz w:val="20"/>
                      <w:szCs w:val="20"/>
                      <w:highlight w:val="none"/>
                      <w:lang w:bidi="ar"/>
                    </w:rPr>
                    <w:t xml:space="preserve">1.00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bdr w:val="single" w:color="000000" w:sz="4" w:space="0"/>
                      <w:lang w:bidi="ar"/>
                    </w:rPr>
                    <w:drawing>
                      <wp:anchor distT="0" distB="0" distL="114300" distR="114300" simplePos="0" relativeHeight="251679744" behindDoc="0" locked="0" layoutInCell="1" allowOverlap="1">
                        <wp:simplePos x="0" y="0"/>
                        <wp:positionH relativeFrom="column">
                          <wp:posOffset>0</wp:posOffset>
                        </wp:positionH>
                        <wp:positionV relativeFrom="paragraph">
                          <wp:posOffset>0</wp:posOffset>
                        </wp:positionV>
                        <wp:extent cx="304800" cy="304800"/>
                        <wp:effectExtent l="0" t="0" r="0" b="0"/>
                        <wp:wrapNone/>
                        <wp:docPr id="75" name="AutoShape_3_SpCnt_20"/>
                        <wp:cNvGraphicFramePr/>
                        <a:graphic xmlns:a="http://schemas.openxmlformats.org/drawingml/2006/main">
                          <a:graphicData uri="http://schemas.openxmlformats.org/drawingml/2006/picture">
                            <pic:pic xmlns:pic="http://schemas.openxmlformats.org/drawingml/2006/picture">
                              <pic:nvPicPr>
                                <pic:cNvPr id="75" name="AutoShape_3_SpCnt_20"/>
                                <pic:cNvPicPr/>
                              </pic:nvPicPr>
                              <pic:blipFill>
                                <a:blip r:embed="rId8"/>
                                <a:stretch>
                                  <a:fillRect/>
                                </a:stretch>
                              </pic:blipFill>
                              <pic:spPr>
                                <a:xfrm>
                                  <a:off x="0" y="0"/>
                                  <a:ext cx="304800" cy="304800"/>
                                </a:xfrm>
                                <a:prstGeom prst="rect">
                                  <a:avLst/>
                                </a:prstGeom>
                                <a:noFill/>
                                <a:ln>
                                  <a:noFill/>
                                </a:ln>
                              </pic:spPr>
                            </pic:pic>
                          </a:graphicData>
                        </a:graphic>
                      </wp:anchor>
                    </w:drawing>
                  </w:r>
                  <w:r>
                    <w:rPr>
                      <w:rFonts w:hint="eastAsia" w:ascii="宋体" w:hAnsi="宋体" w:cs="宋体"/>
                      <w:color w:val="auto"/>
                      <w:sz w:val="20"/>
                      <w:szCs w:val="20"/>
                      <w:highlight w:val="none"/>
                      <w:bdr w:val="single" w:color="000000" w:sz="4" w:space="0"/>
                      <w:lang w:bidi="ar"/>
                    </w:rPr>
                    <w:drawing>
                      <wp:anchor distT="0" distB="0" distL="114300" distR="114300" simplePos="0" relativeHeight="251680768" behindDoc="0" locked="0" layoutInCell="1" allowOverlap="1">
                        <wp:simplePos x="0" y="0"/>
                        <wp:positionH relativeFrom="column">
                          <wp:posOffset>0</wp:posOffset>
                        </wp:positionH>
                        <wp:positionV relativeFrom="paragraph">
                          <wp:posOffset>0</wp:posOffset>
                        </wp:positionV>
                        <wp:extent cx="304800" cy="304800"/>
                        <wp:effectExtent l="0" t="0" r="0" b="0"/>
                        <wp:wrapNone/>
                        <wp:docPr id="66" name="AutoShape_3_SpCnt_21"/>
                        <wp:cNvGraphicFramePr/>
                        <a:graphic xmlns:a="http://schemas.openxmlformats.org/drawingml/2006/main">
                          <a:graphicData uri="http://schemas.openxmlformats.org/drawingml/2006/picture">
                            <pic:pic xmlns:pic="http://schemas.openxmlformats.org/drawingml/2006/picture">
                              <pic:nvPicPr>
                                <pic:cNvPr id="66" name="AutoShape_3_SpCnt_21"/>
                                <pic:cNvPicPr/>
                              </pic:nvPicPr>
                              <pic:blipFill>
                                <a:blip r:embed="rId8"/>
                                <a:stretch>
                                  <a:fillRect/>
                                </a:stretch>
                              </pic:blipFill>
                              <pic:spPr>
                                <a:xfrm>
                                  <a:off x="0" y="0"/>
                                  <a:ext cx="304800" cy="304800"/>
                                </a:xfrm>
                                <a:prstGeom prst="rect">
                                  <a:avLst/>
                                </a:prstGeom>
                                <a:noFill/>
                                <a:ln>
                                  <a:noFill/>
                                </a:ln>
                              </pic:spPr>
                            </pic:pic>
                          </a:graphicData>
                        </a:graphic>
                      </wp:anchor>
                    </w:drawing>
                  </w:r>
                </w:p>
              </w:tc>
            </w:tr>
            <w:tr>
              <w:tblPrEx>
                <w:tblCellMar>
                  <w:top w:w="0" w:type="dxa"/>
                  <w:left w:w="108" w:type="dxa"/>
                  <w:bottom w:w="0" w:type="dxa"/>
                  <w:right w:w="108" w:type="dxa"/>
                </w:tblCellMar>
              </w:tblPrEx>
              <w:trPr>
                <w:trHeight w:val="54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172</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消声器</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1.名称：双腔微孔板消音器</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2.规格：800*320，L=2000mm</w:t>
                  </w:r>
                </w:p>
              </w:tc>
              <w:tc>
                <w:tcPr>
                  <w:tcW w:w="1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54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173</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消声器</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1.名称：双腔微孔板消音器</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2.规格：800*400，L=2000mm</w:t>
                  </w:r>
                </w:p>
              </w:tc>
              <w:tc>
                <w:tcPr>
                  <w:tcW w:w="1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bdr w:val="single" w:color="000000" w:sz="4" w:space="0"/>
                      <w:lang w:bidi="ar"/>
                    </w:rPr>
                    <w:drawing>
                      <wp:anchor distT="0" distB="0" distL="114300" distR="114300" simplePos="0" relativeHeight="251681792" behindDoc="0" locked="0" layoutInCell="1" allowOverlap="1">
                        <wp:simplePos x="0" y="0"/>
                        <wp:positionH relativeFrom="column">
                          <wp:posOffset>0</wp:posOffset>
                        </wp:positionH>
                        <wp:positionV relativeFrom="paragraph">
                          <wp:posOffset>0</wp:posOffset>
                        </wp:positionV>
                        <wp:extent cx="304800" cy="304800"/>
                        <wp:effectExtent l="0" t="0" r="0" b="0"/>
                        <wp:wrapNone/>
                        <wp:docPr id="71" name="AutoShape_3_SpCnt_22"/>
                        <wp:cNvGraphicFramePr/>
                        <a:graphic xmlns:a="http://schemas.openxmlformats.org/drawingml/2006/main">
                          <a:graphicData uri="http://schemas.openxmlformats.org/drawingml/2006/picture">
                            <pic:pic xmlns:pic="http://schemas.openxmlformats.org/drawingml/2006/picture">
                              <pic:nvPicPr>
                                <pic:cNvPr id="71" name="AutoShape_3_SpCnt_22"/>
                                <pic:cNvPicPr/>
                              </pic:nvPicPr>
                              <pic:blipFill>
                                <a:blip r:embed="rId8"/>
                                <a:stretch>
                                  <a:fillRect/>
                                </a:stretch>
                              </pic:blipFill>
                              <pic:spPr>
                                <a:xfrm>
                                  <a:off x="0" y="0"/>
                                  <a:ext cx="304800" cy="304800"/>
                                </a:xfrm>
                                <a:prstGeom prst="rect">
                                  <a:avLst/>
                                </a:prstGeom>
                                <a:noFill/>
                                <a:ln>
                                  <a:noFill/>
                                </a:ln>
                              </pic:spPr>
                            </pic:pic>
                          </a:graphicData>
                        </a:graphic>
                      </wp:anchor>
                    </w:drawing>
                  </w:r>
                  <w:r>
                    <w:rPr>
                      <w:rFonts w:hint="eastAsia" w:ascii="宋体" w:hAnsi="宋体" w:cs="宋体"/>
                      <w:color w:val="auto"/>
                      <w:sz w:val="20"/>
                      <w:szCs w:val="20"/>
                      <w:highlight w:val="none"/>
                      <w:bdr w:val="single" w:color="000000" w:sz="4" w:space="0"/>
                      <w:lang w:bidi="ar"/>
                    </w:rPr>
                    <w:drawing>
                      <wp:anchor distT="0" distB="0" distL="114300" distR="114300" simplePos="0" relativeHeight="251682816" behindDoc="0" locked="0" layoutInCell="1" allowOverlap="1">
                        <wp:simplePos x="0" y="0"/>
                        <wp:positionH relativeFrom="column">
                          <wp:posOffset>0</wp:posOffset>
                        </wp:positionH>
                        <wp:positionV relativeFrom="paragraph">
                          <wp:posOffset>0</wp:posOffset>
                        </wp:positionV>
                        <wp:extent cx="304800" cy="304800"/>
                        <wp:effectExtent l="0" t="0" r="0" b="0"/>
                        <wp:wrapNone/>
                        <wp:docPr id="123" name="AutoShape_3_SpCnt_23"/>
                        <wp:cNvGraphicFramePr/>
                        <a:graphic xmlns:a="http://schemas.openxmlformats.org/drawingml/2006/main">
                          <a:graphicData uri="http://schemas.openxmlformats.org/drawingml/2006/picture">
                            <pic:pic xmlns:pic="http://schemas.openxmlformats.org/drawingml/2006/picture">
                              <pic:nvPicPr>
                                <pic:cNvPr id="123" name="AutoShape_3_SpCnt_23"/>
                                <pic:cNvPicPr/>
                              </pic:nvPicPr>
                              <pic:blipFill>
                                <a:blip r:embed="rId8"/>
                                <a:stretch>
                                  <a:fillRect/>
                                </a:stretch>
                              </pic:blipFill>
                              <pic:spPr>
                                <a:xfrm>
                                  <a:off x="0" y="0"/>
                                  <a:ext cx="304800" cy="304800"/>
                                </a:xfrm>
                                <a:prstGeom prst="rect">
                                  <a:avLst/>
                                </a:prstGeom>
                                <a:noFill/>
                                <a:ln>
                                  <a:noFill/>
                                </a:ln>
                              </pic:spPr>
                            </pic:pic>
                          </a:graphicData>
                        </a:graphic>
                      </wp:anchor>
                    </w:drawing>
                  </w:r>
                  <w:r>
                    <w:rPr>
                      <w:rFonts w:hint="eastAsia" w:ascii="宋体" w:hAnsi="宋体" w:cs="宋体"/>
                      <w:color w:val="auto"/>
                      <w:sz w:val="20"/>
                      <w:szCs w:val="20"/>
                      <w:highlight w:val="none"/>
                      <w:lang w:bidi="ar"/>
                    </w:rPr>
                    <w:t xml:space="preserve">1.00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bdr w:val="single" w:color="000000" w:sz="4" w:space="0"/>
                      <w:lang w:bidi="ar"/>
                    </w:rPr>
                    <w:drawing>
                      <wp:anchor distT="0" distB="0" distL="114300" distR="114300" simplePos="0" relativeHeight="251683840" behindDoc="0" locked="0" layoutInCell="1" allowOverlap="1">
                        <wp:simplePos x="0" y="0"/>
                        <wp:positionH relativeFrom="column">
                          <wp:posOffset>0</wp:posOffset>
                        </wp:positionH>
                        <wp:positionV relativeFrom="paragraph">
                          <wp:posOffset>0</wp:posOffset>
                        </wp:positionV>
                        <wp:extent cx="304800" cy="304800"/>
                        <wp:effectExtent l="0" t="0" r="0" b="0"/>
                        <wp:wrapNone/>
                        <wp:docPr id="69" name="AutoShape_3_SpCnt_24"/>
                        <wp:cNvGraphicFramePr/>
                        <a:graphic xmlns:a="http://schemas.openxmlformats.org/drawingml/2006/main">
                          <a:graphicData uri="http://schemas.openxmlformats.org/drawingml/2006/picture">
                            <pic:pic xmlns:pic="http://schemas.openxmlformats.org/drawingml/2006/picture">
                              <pic:nvPicPr>
                                <pic:cNvPr id="69" name="AutoShape_3_SpCnt_24"/>
                                <pic:cNvPicPr/>
                              </pic:nvPicPr>
                              <pic:blipFill>
                                <a:blip r:embed="rId8"/>
                                <a:stretch>
                                  <a:fillRect/>
                                </a:stretch>
                              </pic:blipFill>
                              <pic:spPr>
                                <a:xfrm>
                                  <a:off x="0" y="0"/>
                                  <a:ext cx="304800" cy="304800"/>
                                </a:xfrm>
                                <a:prstGeom prst="rect">
                                  <a:avLst/>
                                </a:prstGeom>
                                <a:noFill/>
                                <a:ln>
                                  <a:noFill/>
                                </a:ln>
                              </pic:spPr>
                            </pic:pic>
                          </a:graphicData>
                        </a:graphic>
                      </wp:anchor>
                    </w:drawing>
                  </w:r>
                  <w:r>
                    <w:rPr>
                      <w:rFonts w:hint="eastAsia" w:ascii="宋体" w:hAnsi="宋体" w:cs="宋体"/>
                      <w:color w:val="auto"/>
                      <w:sz w:val="20"/>
                      <w:szCs w:val="20"/>
                      <w:highlight w:val="none"/>
                      <w:bdr w:val="single" w:color="000000" w:sz="4" w:space="0"/>
                      <w:lang w:bidi="ar"/>
                    </w:rPr>
                    <w:drawing>
                      <wp:anchor distT="0" distB="0" distL="114300" distR="114300" simplePos="0" relativeHeight="251684864" behindDoc="0" locked="0" layoutInCell="1" allowOverlap="1">
                        <wp:simplePos x="0" y="0"/>
                        <wp:positionH relativeFrom="column">
                          <wp:posOffset>0</wp:posOffset>
                        </wp:positionH>
                        <wp:positionV relativeFrom="paragraph">
                          <wp:posOffset>0</wp:posOffset>
                        </wp:positionV>
                        <wp:extent cx="304800" cy="304800"/>
                        <wp:effectExtent l="0" t="0" r="0" b="0"/>
                        <wp:wrapNone/>
                        <wp:docPr id="124" name="AutoShape_3_SpCnt_25"/>
                        <wp:cNvGraphicFramePr/>
                        <a:graphic xmlns:a="http://schemas.openxmlformats.org/drawingml/2006/main">
                          <a:graphicData uri="http://schemas.openxmlformats.org/drawingml/2006/picture">
                            <pic:pic xmlns:pic="http://schemas.openxmlformats.org/drawingml/2006/picture">
                              <pic:nvPicPr>
                                <pic:cNvPr id="124" name="AutoShape_3_SpCnt_25"/>
                                <pic:cNvPicPr/>
                              </pic:nvPicPr>
                              <pic:blipFill>
                                <a:blip r:embed="rId8"/>
                                <a:stretch>
                                  <a:fillRect/>
                                </a:stretch>
                              </pic:blipFill>
                              <pic:spPr>
                                <a:xfrm>
                                  <a:off x="0" y="0"/>
                                  <a:ext cx="304800" cy="304800"/>
                                </a:xfrm>
                                <a:prstGeom prst="rect">
                                  <a:avLst/>
                                </a:prstGeom>
                                <a:noFill/>
                                <a:ln>
                                  <a:noFill/>
                                </a:ln>
                              </pic:spPr>
                            </pic:pic>
                          </a:graphicData>
                        </a:graphic>
                      </wp:anchor>
                    </w:drawing>
                  </w:r>
                </w:p>
              </w:tc>
            </w:tr>
            <w:tr>
              <w:tblPrEx>
                <w:tblCellMar>
                  <w:top w:w="0" w:type="dxa"/>
                  <w:left w:w="108" w:type="dxa"/>
                  <w:bottom w:w="0" w:type="dxa"/>
                  <w:right w:w="108" w:type="dxa"/>
                </w:tblCellMar>
              </w:tblPrEx>
              <w:trPr>
                <w:trHeight w:val="54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174</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消声器</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1.名称：双腔微孔板消音器</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2.规格：800*500，L=1000mm</w:t>
                  </w:r>
                </w:p>
              </w:tc>
              <w:tc>
                <w:tcPr>
                  <w:tcW w:w="1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54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175</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消声器</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1.名称：双腔微孔板消音器</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2.规格：800*500，L=2000mm</w:t>
                  </w:r>
                </w:p>
              </w:tc>
              <w:tc>
                <w:tcPr>
                  <w:tcW w:w="1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bdr w:val="single" w:color="000000" w:sz="4" w:space="0"/>
                      <w:lang w:bidi="ar"/>
                    </w:rPr>
                    <w:drawing>
                      <wp:anchor distT="0" distB="0" distL="114300" distR="114300" simplePos="0" relativeHeight="251685888" behindDoc="0" locked="0" layoutInCell="1" allowOverlap="1">
                        <wp:simplePos x="0" y="0"/>
                        <wp:positionH relativeFrom="column">
                          <wp:posOffset>0</wp:posOffset>
                        </wp:positionH>
                        <wp:positionV relativeFrom="paragraph">
                          <wp:posOffset>0</wp:posOffset>
                        </wp:positionV>
                        <wp:extent cx="304800" cy="304800"/>
                        <wp:effectExtent l="0" t="0" r="0" b="0"/>
                        <wp:wrapNone/>
                        <wp:docPr id="67" name="AutoShape_3_SpCnt_26"/>
                        <wp:cNvGraphicFramePr/>
                        <a:graphic xmlns:a="http://schemas.openxmlformats.org/drawingml/2006/main">
                          <a:graphicData uri="http://schemas.openxmlformats.org/drawingml/2006/picture">
                            <pic:pic xmlns:pic="http://schemas.openxmlformats.org/drawingml/2006/picture">
                              <pic:nvPicPr>
                                <pic:cNvPr id="67" name="AutoShape_3_SpCnt_26"/>
                                <pic:cNvPicPr/>
                              </pic:nvPicPr>
                              <pic:blipFill>
                                <a:blip r:embed="rId8"/>
                                <a:stretch>
                                  <a:fillRect/>
                                </a:stretch>
                              </pic:blipFill>
                              <pic:spPr>
                                <a:xfrm>
                                  <a:off x="0" y="0"/>
                                  <a:ext cx="304800" cy="304800"/>
                                </a:xfrm>
                                <a:prstGeom prst="rect">
                                  <a:avLst/>
                                </a:prstGeom>
                                <a:noFill/>
                                <a:ln>
                                  <a:noFill/>
                                </a:ln>
                              </pic:spPr>
                            </pic:pic>
                          </a:graphicData>
                        </a:graphic>
                      </wp:anchor>
                    </w:drawing>
                  </w:r>
                  <w:r>
                    <w:rPr>
                      <w:rFonts w:hint="eastAsia" w:ascii="宋体" w:hAnsi="宋体" w:cs="宋体"/>
                      <w:color w:val="auto"/>
                      <w:sz w:val="20"/>
                      <w:szCs w:val="20"/>
                      <w:highlight w:val="none"/>
                      <w:lang w:bidi="ar"/>
                    </w:rPr>
                    <w:t xml:space="preserve">1.00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bdr w:val="single" w:color="000000" w:sz="4" w:space="0"/>
                      <w:lang w:bidi="ar"/>
                    </w:rPr>
                    <w:drawing>
                      <wp:anchor distT="0" distB="0" distL="114300" distR="114300" simplePos="0" relativeHeight="251686912" behindDoc="0" locked="0" layoutInCell="1" allowOverlap="1">
                        <wp:simplePos x="0" y="0"/>
                        <wp:positionH relativeFrom="column">
                          <wp:posOffset>0</wp:posOffset>
                        </wp:positionH>
                        <wp:positionV relativeFrom="paragraph">
                          <wp:posOffset>0</wp:posOffset>
                        </wp:positionV>
                        <wp:extent cx="304800" cy="304800"/>
                        <wp:effectExtent l="0" t="0" r="0" b="0"/>
                        <wp:wrapNone/>
                        <wp:docPr id="70" name="AutoShape_3_SpCnt_27"/>
                        <wp:cNvGraphicFramePr/>
                        <a:graphic xmlns:a="http://schemas.openxmlformats.org/drawingml/2006/main">
                          <a:graphicData uri="http://schemas.openxmlformats.org/drawingml/2006/picture">
                            <pic:pic xmlns:pic="http://schemas.openxmlformats.org/drawingml/2006/picture">
                              <pic:nvPicPr>
                                <pic:cNvPr id="70" name="AutoShape_3_SpCnt_27"/>
                                <pic:cNvPicPr/>
                              </pic:nvPicPr>
                              <pic:blipFill>
                                <a:blip r:embed="rId8"/>
                                <a:stretch>
                                  <a:fillRect/>
                                </a:stretch>
                              </pic:blipFill>
                              <pic:spPr>
                                <a:xfrm>
                                  <a:off x="0" y="0"/>
                                  <a:ext cx="304800" cy="304800"/>
                                </a:xfrm>
                                <a:prstGeom prst="rect">
                                  <a:avLst/>
                                </a:prstGeom>
                                <a:noFill/>
                                <a:ln>
                                  <a:noFill/>
                                </a:ln>
                              </pic:spPr>
                            </pic:pic>
                          </a:graphicData>
                        </a:graphic>
                      </wp:anchor>
                    </w:drawing>
                  </w:r>
                </w:p>
              </w:tc>
            </w:tr>
            <w:tr>
              <w:tblPrEx>
                <w:tblCellMar>
                  <w:top w:w="0" w:type="dxa"/>
                  <w:left w:w="108" w:type="dxa"/>
                  <w:bottom w:w="0" w:type="dxa"/>
                  <w:right w:w="108" w:type="dxa"/>
                </w:tblCellMar>
              </w:tblPrEx>
              <w:trPr>
                <w:trHeight w:val="54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176</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消声器</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1.名称：双腔微孔板消音器</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2.规格：800*500，L=3000mm</w:t>
                  </w:r>
                </w:p>
              </w:tc>
              <w:tc>
                <w:tcPr>
                  <w:tcW w:w="1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54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177</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消声器</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1.名称：双腔微孔板消音器</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2.规格：800*630，L=1000mm</w:t>
                  </w:r>
                </w:p>
              </w:tc>
              <w:tc>
                <w:tcPr>
                  <w:tcW w:w="1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54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178</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消声器</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1.名称：双腔微孔板消音器</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2.规格：800*630，L=2000mm</w:t>
                  </w:r>
                </w:p>
              </w:tc>
              <w:tc>
                <w:tcPr>
                  <w:tcW w:w="1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bdr w:val="single" w:color="000000" w:sz="4" w:space="0"/>
                      <w:lang w:bidi="ar"/>
                    </w:rPr>
                    <w:drawing>
                      <wp:anchor distT="0" distB="0" distL="114300" distR="114300" simplePos="0" relativeHeight="251687936" behindDoc="0" locked="0" layoutInCell="1" allowOverlap="1">
                        <wp:simplePos x="0" y="0"/>
                        <wp:positionH relativeFrom="column">
                          <wp:posOffset>0</wp:posOffset>
                        </wp:positionH>
                        <wp:positionV relativeFrom="paragraph">
                          <wp:posOffset>0</wp:posOffset>
                        </wp:positionV>
                        <wp:extent cx="304800" cy="304800"/>
                        <wp:effectExtent l="0" t="0" r="0" b="0"/>
                        <wp:wrapNone/>
                        <wp:docPr id="76" name="AutoShape_3_SpCnt_28"/>
                        <wp:cNvGraphicFramePr/>
                        <a:graphic xmlns:a="http://schemas.openxmlformats.org/drawingml/2006/main">
                          <a:graphicData uri="http://schemas.openxmlformats.org/drawingml/2006/picture">
                            <pic:pic xmlns:pic="http://schemas.openxmlformats.org/drawingml/2006/picture">
                              <pic:nvPicPr>
                                <pic:cNvPr id="76" name="AutoShape_3_SpCnt_28"/>
                                <pic:cNvPicPr/>
                              </pic:nvPicPr>
                              <pic:blipFill>
                                <a:blip r:embed="rId8"/>
                                <a:stretch>
                                  <a:fillRect/>
                                </a:stretch>
                              </pic:blipFill>
                              <pic:spPr>
                                <a:xfrm>
                                  <a:off x="0" y="0"/>
                                  <a:ext cx="304800" cy="304800"/>
                                </a:xfrm>
                                <a:prstGeom prst="rect">
                                  <a:avLst/>
                                </a:prstGeom>
                                <a:noFill/>
                                <a:ln>
                                  <a:noFill/>
                                </a:ln>
                              </pic:spPr>
                            </pic:pic>
                          </a:graphicData>
                        </a:graphic>
                      </wp:anchor>
                    </w:drawing>
                  </w:r>
                  <w:r>
                    <w:rPr>
                      <w:rFonts w:hint="eastAsia" w:ascii="宋体" w:hAnsi="宋体" w:cs="宋体"/>
                      <w:color w:val="auto"/>
                      <w:sz w:val="20"/>
                      <w:szCs w:val="20"/>
                      <w:highlight w:val="none"/>
                      <w:lang w:bidi="ar"/>
                    </w:rPr>
                    <w:t xml:space="preserve">2.00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bdr w:val="single" w:color="000000" w:sz="4" w:space="0"/>
                      <w:lang w:bidi="ar"/>
                    </w:rPr>
                    <w:drawing>
                      <wp:anchor distT="0" distB="0" distL="114300" distR="114300" simplePos="0" relativeHeight="251688960" behindDoc="0" locked="0" layoutInCell="1" allowOverlap="1">
                        <wp:simplePos x="0" y="0"/>
                        <wp:positionH relativeFrom="column">
                          <wp:posOffset>0</wp:posOffset>
                        </wp:positionH>
                        <wp:positionV relativeFrom="paragraph">
                          <wp:posOffset>0</wp:posOffset>
                        </wp:positionV>
                        <wp:extent cx="304800" cy="304800"/>
                        <wp:effectExtent l="0" t="0" r="0" b="0"/>
                        <wp:wrapNone/>
                        <wp:docPr id="77" name="AutoShape_3_SpCnt_29"/>
                        <wp:cNvGraphicFramePr/>
                        <a:graphic xmlns:a="http://schemas.openxmlformats.org/drawingml/2006/main">
                          <a:graphicData uri="http://schemas.openxmlformats.org/drawingml/2006/picture">
                            <pic:pic xmlns:pic="http://schemas.openxmlformats.org/drawingml/2006/picture">
                              <pic:nvPicPr>
                                <pic:cNvPr id="77" name="AutoShape_3_SpCnt_29"/>
                                <pic:cNvPicPr/>
                              </pic:nvPicPr>
                              <pic:blipFill>
                                <a:blip r:embed="rId8"/>
                                <a:stretch>
                                  <a:fillRect/>
                                </a:stretch>
                              </pic:blipFill>
                              <pic:spPr>
                                <a:xfrm>
                                  <a:off x="0" y="0"/>
                                  <a:ext cx="304800" cy="304800"/>
                                </a:xfrm>
                                <a:prstGeom prst="rect">
                                  <a:avLst/>
                                </a:prstGeom>
                                <a:noFill/>
                                <a:ln>
                                  <a:noFill/>
                                </a:ln>
                              </pic:spPr>
                            </pic:pic>
                          </a:graphicData>
                        </a:graphic>
                      </wp:anchor>
                    </w:drawing>
                  </w:r>
                </w:p>
              </w:tc>
            </w:tr>
            <w:tr>
              <w:tblPrEx>
                <w:tblCellMar>
                  <w:top w:w="0" w:type="dxa"/>
                  <w:left w:w="108" w:type="dxa"/>
                  <w:bottom w:w="0" w:type="dxa"/>
                  <w:right w:w="108" w:type="dxa"/>
                </w:tblCellMar>
              </w:tblPrEx>
              <w:trPr>
                <w:trHeight w:val="54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179</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消声器</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1.名称：双腔微孔板消音器</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2.规格：1000*630，L=1000mm</w:t>
                  </w:r>
                </w:p>
              </w:tc>
              <w:tc>
                <w:tcPr>
                  <w:tcW w:w="1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bdr w:val="single" w:color="000000" w:sz="4" w:space="0"/>
                      <w:lang w:bidi="ar"/>
                    </w:rPr>
                    <w:drawing>
                      <wp:anchor distT="0" distB="0" distL="114300" distR="114300" simplePos="0" relativeHeight="251689984" behindDoc="0" locked="0" layoutInCell="1" allowOverlap="1">
                        <wp:simplePos x="0" y="0"/>
                        <wp:positionH relativeFrom="column">
                          <wp:posOffset>0</wp:posOffset>
                        </wp:positionH>
                        <wp:positionV relativeFrom="paragraph">
                          <wp:posOffset>0</wp:posOffset>
                        </wp:positionV>
                        <wp:extent cx="304800" cy="304800"/>
                        <wp:effectExtent l="0" t="0" r="0" b="0"/>
                        <wp:wrapNone/>
                        <wp:docPr id="72" name="AutoShape_3_SpCnt_30"/>
                        <wp:cNvGraphicFramePr/>
                        <a:graphic xmlns:a="http://schemas.openxmlformats.org/drawingml/2006/main">
                          <a:graphicData uri="http://schemas.openxmlformats.org/drawingml/2006/picture">
                            <pic:pic xmlns:pic="http://schemas.openxmlformats.org/drawingml/2006/picture">
                              <pic:nvPicPr>
                                <pic:cNvPr id="72" name="AutoShape_3_SpCnt_30"/>
                                <pic:cNvPicPr/>
                              </pic:nvPicPr>
                              <pic:blipFill>
                                <a:blip r:embed="rId8"/>
                                <a:stretch>
                                  <a:fillRect/>
                                </a:stretch>
                              </pic:blipFill>
                              <pic:spPr>
                                <a:xfrm>
                                  <a:off x="0" y="0"/>
                                  <a:ext cx="304800" cy="304800"/>
                                </a:xfrm>
                                <a:prstGeom prst="rect">
                                  <a:avLst/>
                                </a:prstGeom>
                                <a:noFill/>
                                <a:ln>
                                  <a:noFill/>
                                </a:ln>
                              </pic:spPr>
                            </pic:pic>
                          </a:graphicData>
                        </a:graphic>
                      </wp:anchor>
                    </w:drawing>
                  </w:r>
                  <w:r>
                    <w:rPr>
                      <w:rFonts w:hint="eastAsia" w:ascii="宋体" w:hAnsi="宋体" w:cs="宋体"/>
                      <w:color w:val="auto"/>
                      <w:sz w:val="20"/>
                      <w:szCs w:val="20"/>
                      <w:highlight w:val="none"/>
                      <w:lang w:bidi="ar"/>
                    </w:rPr>
                    <w:t xml:space="preserve">1.00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bdr w:val="single" w:color="000000" w:sz="4" w:space="0"/>
                      <w:lang w:bidi="ar"/>
                    </w:rPr>
                    <w:drawing>
                      <wp:anchor distT="0" distB="0" distL="114300" distR="114300" simplePos="0" relativeHeight="251691008" behindDoc="0" locked="0" layoutInCell="1" allowOverlap="1">
                        <wp:simplePos x="0" y="0"/>
                        <wp:positionH relativeFrom="column">
                          <wp:posOffset>0</wp:posOffset>
                        </wp:positionH>
                        <wp:positionV relativeFrom="paragraph">
                          <wp:posOffset>0</wp:posOffset>
                        </wp:positionV>
                        <wp:extent cx="304800" cy="304800"/>
                        <wp:effectExtent l="0" t="0" r="0" b="0"/>
                        <wp:wrapNone/>
                        <wp:docPr id="68" name="AutoShape_3_SpCnt_31"/>
                        <wp:cNvGraphicFramePr/>
                        <a:graphic xmlns:a="http://schemas.openxmlformats.org/drawingml/2006/main">
                          <a:graphicData uri="http://schemas.openxmlformats.org/drawingml/2006/picture">
                            <pic:pic xmlns:pic="http://schemas.openxmlformats.org/drawingml/2006/picture">
                              <pic:nvPicPr>
                                <pic:cNvPr id="68" name="AutoShape_3_SpCnt_31"/>
                                <pic:cNvPicPr/>
                              </pic:nvPicPr>
                              <pic:blipFill>
                                <a:blip r:embed="rId8"/>
                                <a:stretch>
                                  <a:fillRect/>
                                </a:stretch>
                              </pic:blipFill>
                              <pic:spPr>
                                <a:xfrm>
                                  <a:off x="0" y="0"/>
                                  <a:ext cx="304800" cy="304800"/>
                                </a:xfrm>
                                <a:prstGeom prst="rect">
                                  <a:avLst/>
                                </a:prstGeom>
                                <a:noFill/>
                                <a:ln>
                                  <a:noFill/>
                                </a:ln>
                              </pic:spPr>
                            </pic:pic>
                          </a:graphicData>
                        </a:graphic>
                      </wp:anchor>
                    </w:drawing>
                  </w:r>
                </w:p>
              </w:tc>
            </w:tr>
            <w:tr>
              <w:tblPrEx>
                <w:tblCellMar>
                  <w:top w:w="0" w:type="dxa"/>
                  <w:left w:w="108" w:type="dxa"/>
                  <w:bottom w:w="0" w:type="dxa"/>
                  <w:right w:w="108" w:type="dxa"/>
                </w:tblCellMar>
              </w:tblPrEx>
              <w:trPr>
                <w:trHeight w:val="54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180</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消声器</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1.名称：双腔微孔板消音器</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2.规格：1000*630，L=2000mm</w:t>
                  </w:r>
                </w:p>
              </w:tc>
              <w:tc>
                <w:tcPr>
                  <w:tcW w:w="1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bdr w:val="single" w:color="000000" w:sz="4" w:space="0"/>
                      <w:lang w:bidi="ar"/>
                    </w:rPr>
                    <w:drawing>
                      <wp:anchor distT="0" distB="0" distL="114300" distR="114300" simplePos="0" relativeHeight="251692032" behindDoc="0" locked="0" layoutInCell="1" allowOverlap="1">
                        <wp:simplePos x="0" y="0"/>
                        <wp:positionH relativeFrom="column">
                          <wp:posOffset>0</wp:posOffset>
                        </wp:positionH>
                        <wp:positionV relativeFrom="paragraph">
                          <wp:posOffset>0</wp:posOffset>
                        </wp:positionV>
                        <wp:extent cx="304800" cy="304800"/>
                        <wp:effectExtent l="0" t="0" r="0" b="0"/>
                        <wp:wrapNone/>
                        <wp:docPr id="65" name="AutoShape_3_SpCnt_32"/>
                        <wp:cNvGraphicFramePr/>
                        <a:graphic xmlns:a="http://schemas.openxmlformats.org/drawingml/2006/main">
                          <a:graphicData uri="http://schemas.openxmlformats.org/drawingml/2006/picture">
                            <pic:pic xmlns:pic="http://schemas.openxmlformats.org/drawingml/2006/picture">
                              <pic:nvPicPr>
                                <pic:cNvPr id="65" name="AutoShape_3_SpCnt_32"/>
                                <pic:cNvPicPr/>
                              </pic:nvPicPr>
                              <pic:blipFill>
                                <a:blip r:embed="rId8"/>
                                <a:stretch>
                                  <a:fillRect/>
                                </a:stretch>
                              </pic:blipFill>
                              <pic:spPr>
                                <a:xfrm>
                                  <a:off x="0" y="0"/>
                                  <a:ext cx="304800" cy="304800"/>
                                </a:xfrm>
                                <a:prstGeom prst="rect">
                                  <a:avLst/>
                                </a:prstGeom>
                                <a:noFill/>
                                <a:ln>
                                  <a:noFill/>
                                </a:ln>
                              </pic:spPr>
                            </pic:pic>
                          </a:graphicData>
                        </a:graphic>
                      </wp:anchor>
                    </w:drawing>
                  </w:r>
                  <w:r>
                    <w:rPr>
                      <w:rFonts w:hint="eastAsia" w:ascii="宋体" w:hAnsi="宋体" w:cs="宋体"/>
                      <w:color w:val="auto"/>
                      <w:sz w:val="20"/>
                      <w:szCs w:val="20"/>
                      <w:highlight w:val="none"/>
                      <w:bdr w:val="single" w:color="000000" w:sz="4" w:space="0"/>
                      <w:lang w:bidi="ar"/>
                    </w:rPr>
                    <w:drawing>
                      <wp:anchor distT="0" distB="0" distL="114300" distR="114300" simplePos="0" relativeHeight="251693056" behindDoc="0" locked="0" layoutInCell="1" allowOverlap="1">
                        <wp:simplePos x="0" y="0"/>
                        <wp:positionH relativeFrom="column">
                          <wp:posOffset>0</wp:posOffset>
                        </wp:positionH>
                        <wp:positionV relativeFrom="paragraph">
                          <wp:posOffset>0</wp:posOffset>
                        </wp:positionV>
                        <wp:extent cx="304800" cy="304800"/>
                        <wp:effectExtent l="0" t="0" r="0" b="0"/>
                        <wp:wrapNone/>
                        <wp:docPr id="122" name="AutoShape_3_SpCnt_33"/>
                        <wp:cNvGraphicFramePr/>
                        <a:graphic xmlns:a="http://schemas.openxmlformats.org/drawingml/2006/main">
                          <a:graphicData uri="http://schemas.openxmlformats.org/drawingml/2006/picture">
                            <pic:pic xmlns:pic="http://schemas.openxmlformats.org/drawingml/2006/picture">
                              <pic:nvPicPr>
                                <pic:cNvPr id="122" name="AutoShape_3_SpCnt_33"/>
                                <pic:cNvPicPr/>
                              </pic:nvPicPr>
                              <pic:blipFill>
                                <a:blip r:embed="rId8"/>
                                <a:stretch>
                                  <a:fillRect/>
                                </a:stretch>
                              </pic:blipFill>
                              <pic:spPr>
                                <a:xfrm>
                                  <a:off x="0" y="0"/>
                                  <a:ext cx="304800" cy="304800"/>
                                </a:xfrm>
                                <a:prstGeom prst="rect">
                                  <a:avLst/>
                                </a:prstGeom>
                                <a:noFill/>
                                <a:ln>
                                  <a:noFill/>
                                </a:ln>
                              </pic:spPr>
                            </pic:pic>
                          </a:graphicData>
                        </a:graphic>
                      </wp:anchor>
                    </w:drawing>
                  </w:r>
                  <w:r>
                    <w:rPr>
                      <w:rFonts w:hint="eastAsia" w:ascii="宋体" w:hAnsi="宋体" w:cs="宋体"/>
                      <w:color w:val="auto"/>
                      <w:sz w:val="20"/>
                      <w:szCs w:val="20"/>
                      <w:highlight w:val="none"/>
                      <w:bdr w:val="single" w:color="000000" w:sz="4" w:space="0"/>
                      <w:lang w:bidi="ar"/>
                    </w:rPr>
                    <w:drawing>
                      <wp:anchor distT="0" distB="0" distL="114300" distR="114300" simplePos="0" relativeHeight="251694080" behindDoc="0" locked="0" layoutInCell="1" allowOverlap="1">
                        <wp:simplePos x="0" y="0"/>
                        <wp:positionH relativeFrom="column">
                          <wp:posOffset>0</wp:posOffset>
                        </wp:positionH>
                        <wp:positionV relativeFrom="paragraph">
                          <wp:posOffset>0</wp:posOffset>
                        </wp:positionV>
                        <wp:extent cx="304800" cy="304800"/>
                        <wp:effectExtent l="0" t="0" r="0" b="0"/>
                        <wp:wrapNone/>
                        <wp:docPr id="73" name="AutoShape_3_SpCnt_34"/>
                        <wp:cNvGraphicFramePr/>
                        <a:graphic xmlns:a="http://schemas.openxmlformats.org/drawingml/2006/main">
                          <a:graphicData uri="http://schemas.openxmlformats.org/drawingml/2006/picture">
                            <pic:pic xmlns:pic="http://schemas.openxmlformats.org/drawingml/2006/picture">
                              <pic:nvPicPr>
                                <pic:cNvPr id="73" name="AutoShape_3_SpCnt_34"/>
                                <pic:cNvPicPr/>
                              </pic:nvPicPr>
                              <pic:blipFill>
                                <a:blip r:embed="rId8"/>
                                <a:stretch>
                                  <a:fillRect/>
                                </a:stretch>
                              </pic:blipFill>
                              <pic:spPr>
                                <a:xfrm>
                                  <a:off x="0" y="0"/>
                                  <a:ext cx="304800" cy="304800"/>
                                </a:xfrm>
                                <a:prstGeom prst="rect">
                                  <a:avLst/>
                                </a:prstGeom>
                                <a:noFill/>
                                <a:ln>
                                  <a:noFill/>
                                </a:ln>
                              </pic:spPr>
                            </pic:pic>
                          </a:graphicData>
                        </a:graphic>
                      </wp:anchor>
                    </w:drawing>
                  </w:r>
                  <w:r>
                    <w:rPr>
                      <w:rFonts w:hint="eastAsia" w:ascii="宋体" w:hAnsi="宋体" w:cs="宋体"/>
                      <w:color w:val="auto"/>
                      <w:sz w:val="20"/>
                      <w:szCs w:val="20"/>
                      <w:highlight w:val="none"/>
                      <w:lang w:bidi="ar"/>
                    </w:rPr>
                    <w:t xml:space="preserve">1.00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bdr w:val="single" w:color="000000" w:sz="4" w:space="0"/>
                      <w:lang w:bidi="ar"/>
                    </w:rPr>
                    <w:drawing>
                      <wp:anchor distT="0" distB="0" distL="114300" distR="114300" simplePos="0" relativeHeight="251695104" behindDoc="0" locked="0" layoutInCell="1" allowOverlap="1">
                        <wp:simplePos x="0" y="0"/>
                        <wp:positionH relativeFrom="column">
                          <wp:posOffset>0</wp:posOffset>
                        </wp:positionH>
                        <wp:positionV relativeFrom="paragraph">
                          <wp:posOffset>0</wp:posOffset>
                        </wp:positionV>
                        <wp:extent cx="304800" cy="304800"/>
                        <wp:effectExtent l="0" t="0" r="0" b="0"/>
                        <wp:wrapNone/>
                        <wp:docPr id="78" name="AutoShape_3_SpCnt_35"/>
                        <wp:cNvGraphicFramePr/>
                        <a:graphic xmlns:a="http://schemas.openxmlformats.org/drawingml/2006/main">
                          <a:graphicData uri="http://schemas.openxmlformats.org/drawingml/2006/picture">
                            <pic:pic xmlns:pic="http://schemas.openxmlformats.org/drawingml/2006/picture">
                              <pic:nvPicPr>
                                <pic:cNvPr id="78" name="AutoShape_3_SpCnt_35"/>
                                <pic:cNvPicPr/>
                              </pic:nvPicPr>
                              <pic:blipFill>
                                <a:blip r:embed="rId8"/>
                                <a:stretch>
                                  <a:fillRect/>
                                </a:stretch>
                              </pic:blipFill>
                              <pic:spPr>
                                <a:xfrm>
                                  <a:off x="0" y="0"/>
                                  <a:ext cx="304800" cy="304800"/>
                                </a:xfrm>
                                <a:prstGeom prst="rect">
                                  <a:avLst/>
                                </a:prstGeom>
                                <a:noFill/>
                                <a:ln>
                                  <a:noFill/>
                                </a:ln>
                              </pic:spPr>
                            </pic:pic>
                          </a:graphicData>
                        </a:graphic>
                      </wp:anchor>
                    </w:drawing>
                  </w:r>
                  <w:r>
                    <w:rPr>
                      <w:rFonts w:hint="eastAsia" w:ascii="宋体" w:hAnsi="宋体" w:cs="宋体"/>
                      <w:color w:val="auto"/>
                      <w:sz w:val="20"/>
                      <w:szCs w:val="20"/>
                      <w:highlight w:val="none"/>
                      <w:bdr w:val="single" w:color="000000" w:sz="4" w:space="0"/>
                      <w:lang w:bidi="ar"/>
                    </w:rPr>
                    <w:drawing>
                      <wp:anchor distT="0" distB="0" distL="114300" distR="114300" simplePos="0" relativeHeight="251696128" behindDoc="0" locked="0" layoutInCell="1" allowOverlap="1">
                        <wp:simplePos x="0" y="0"/>
                        <wp:positionH relativeFrom="column">
                          <wp:posOffset>0</wp:posOffset>
                        </wp:positionH>
                        <wp:positionV relativeFrom="paragraph">
                          <wp:posOffset>0</wp:posOffset>
                        </wp:positionV>
                        <wp:extent cx="304800" cy="304800"/>
                        <wp:effectExtent l="0" t="0" r="0" b="0"/>
                        <wp:wrapNone/>
                        <wp:docPr id="74" name="AutoShape_3_SpCnt_36"/>
                        <wp:cNvGraphicFramePr/>
                        <a:graphic xmlns:a="http://schemas.openxmlformats.org/drawingml/2006/main">
                          <a:graphicData uri="http://schemas.openxmlformats.org/drawingml/2006/picture">
                            <pic:pic xmlns:pic="http://schemas.openxmlformats.org/drawingml/2006/picture">
                              <pic:nvPicPr>
                                <pic:cNvPr id="74" name="AutoShape_3_SpCnt_36"/>
                                <pic:cNvPicPr/>
                              </pic:nvPicPr>
                              <pic:blipFill>
                                <a:blip r:embed="rId8"/>
                                <a:stretch>
                                  <a:fillRect/>
                                </a:stretch>
                              </pic:blipFill>
                              <pic:spPr>
                                <a:xfrm>
                                  <a:off x="0" y="0"/>
                                  <a:ext cx="304800" cy="304800"/>
                                </a:xfrm>
                                <a:prstGeom prst="rect">
                                  <a:avLst/>
                                </a:prstGeom>
                                <a:noFill/>
                                <a:ln>
                                  <a:noFill/>
                                </a:ln>
                              </pic:spPr>
                            </pic:pic>
                          </a:graphicData>
                        </a:graphic>
                      </wp:anchor>
                    </w:drawing>
                  </w:r>
                  <w:r>
                    <w:rPr>
                      <w:rFonts w:hint="eastAsia" w:ascii="宋体" w:hAnsi="宋体" w:cs="宋体"/>
                      <w:color w:val="auto"/>
                      <w:sz w:val="20"/>
                      <w:szCs w:val="20"/>
                      <w:highlight w:val="none"/>
                      <w:bdr w:val="single" w:color="000000" w:sz="4" w:space="0"/>
                      <w:lang w:bidi="ar"/>
                    </w:rPr>
                    <w:drawing>
                      <wp:anchor distT="0" distB="0" distL="114300" distR="114300" simplePos="0" relativeHeight="251697152" behindDoc="0" locked="0" layoutInCell="1" allowOverlap="1">
                        <wp:simplePos x="0" y="0"/>
                        <wp:positionH relativeFrom="column">
                          <wp:posOffset>0</wp:posOffset>
                        </wp:positionH>
                        <wp:positionV relativeFrom="paragraph">
                          <wp:posOffset>0</wp:posOffset>
                        </wp:positionV>
                        <wp:extent cx="304800" cy="304800"/>
                        <wp:effectExtent l="0" t="0" r="0" b="0"/>
                        <wp:wrapNone/>
                        <wp:docPr id="79" name="AutoShape_3_SpCnt_37"/>
                        <wp:cNvGraphicFramePr/>
                        <a:graphic xmlns:a="http://schemas.openxmlformats.org/drawingml/2006/main">
                          <a:graphicData uri="http://schemas.openxmlformats.org/drawingml/2006/picture">
                            <pic:pic xmlns:pic="http://schemas.openxmlformats.org/drawingml/2006/picture">
                              <pic:nvPicPr>
                                <pic:cNvPr id="79" name="AutoShape_3_SpCnt_37"/>
                                <pic:cNvPicPr/>
                              </pic:nvPicPr>
                              <pic:blipFill>
                                <a:blip r:embed="rId8"/>
                                <a:stretch>
                                  <a:fillRect/>
                                </a:stretch>
                              </pic:blipFill>
                              <pic:spPr>
                                <a:xfrm>
                                  <a:off x="0" y="0"/>
                                  <a:ext cx="304800" cy="304800"/>
                                </a:xfrm>
                                <a:prstGeom prst="rect">
                                  <a:avLst/>
                                </a:prstGeom>
                                <a:noFill/>
                                <a:ln>
                                  <a:noFill/>
                                </a:ln>
                              </pic:spPr>
                            </pic:pic>
                          </a:graphicData>
                        </a:graphic>
                      </wp:anchor>
                    </w:drawing>
                  </w:r>
                </w:p>
              </w:tc>
            </w:tr>
            <w:tr>
              <w:tblPrEx>
                <w:tblCellMar>
                  <w:top w:w="0" w:type="dxa"/>
                  <w:left w:w="108" w:type="dxa"/>
                  <w:bottom w:w="0" w:type="dxa"/>
                  <w:right w:w="108" w:type="dxa"/>
                </w:tblCellMar>
              </w:tblPrEx>
              <w:trPr>
                <w:trHeight w:val="54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181</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消声器</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1.名称：双腔微孔板消音器</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2.规格：1250*630，L=2000mm</w:t>
                  </w:r>
                </w:p>
              </w:tc>
              <w:tc>
                <w:tcPr>
                  <w:tcW w:w="1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bdr w:val="single" w:color="000000" w:sz="4" w:space="0"/>
                      <w:lang w:bidi="ar"/>
                    </w:rPr>
                    <w:drawing>
                      <wp:anchor distT="0" distB="0" distL="114300" distR="114300" simplePos="0" relativeHeight="251698176" behindDoc="0" locked="0" layoutInCell="1" allowOverlap="1">
                        <wp:simplePos x="0" y="0"/>
                        <wp:positionH relativeFrom="column">
                          <wp:posOffset>0</wp:posOffset>
                        </wp:positionH>
                        <wp:positionV relativeFrom="paragraph">
                          <wp:posOffset>0</wp:posOffset>
                        </wp:positionV>
                        <wp:extent cx="304800" cy="304800"/>
                        <wp:effectExtent l="0" t="0" r="0" b="0"/>
                        <wp:wrapNone/>
                        <wp:docPr id="80" name="AutoShape_3_SpCnt_38"/>
                        <wp:cNvGraphicFramePr/>
                        <a:graphic xmlns:a="http://schemas.openxmlformats.org/drawingml/2006/main">
                          <a:graphicData uri="http://schemas.openxmlformats.org/drawingml/2006/picture">
                            <pic:pic xmlns:pic="http://schemas.openxmlformats.org/drawingml/2006/picture">
                              <pic:nvPicPr>
                                <pic:cNvPr id="80" name="AutoShape_3_SpCnt_38"/>
                                <pic:cNvPicPr/>
                              </pic:nvPicPr>
                              <pic:blipFill>
                                <a:blip r:embed="rId8"/>
                                <a:stretch>
                                  <a:fillRect/>
                                </a:stretch>
                              </pic:blipFill>
                              <pic:spPr>
                                <a:xfrm>
                                  <a:off x="0" y="0"/>
                                  <a:ext cx="304800" cy="304800"/>
                                </a:xfrm>
                                <a:prstGeom prst="rect">
                                  <a:avLst/>
                                </a:prstGeom>
                                <a:noFill/>
                                <a:ln>
                                  <a:noFill/>
                                </a:ln>
                              </pic:spPr>
                            </pic:pic>
                          </a:graphicData>
                        </a:graphic>
                      </wp:anchor>
                    </w:drawing>
                  </w:r>
                  <w:r>
                    <w:rPr>
                      <w:rFonts w:hint="eastAsia" w:ascii="宋体" w:hAnsi="宋体" w:cs="宋体"/>
                      <w:color w:val="auto"/>
                      <w:sz w:val="20"/>
                      <w:szCs w:val="20"/>
                      <w:highlight w:val="none"/>
                      <w:lang w:bidi="ar"/>
                    </w:rPr>
                    <w:t xml:space="preserve">1.00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bdr w:val="single" w:color="000000" w:sz="4" w:space="0"/>
                      <w:lang w:bidi="ar"/>
                    </w:rPr>
                    <w:drawing>
                      <wp:anchor distT="0" distB="0" distL="114300" distR="114300" simplePos="0" relativeHeight="251699200" behindDoc="0" locked="0" layoutInCell="1" allowOverlap="1">
                        <wp:simplePos x="0" y="0"/>
                        <wp:positionH relativeFrom="column">
                          <wp:posOffset>0</wp:posOffset>
                        </wp:positionH>
                        <wp:positionV relativeFrom="paragraph">
                          <wp:posOffset>0</wp:posOffset>
                        </wp:positionV>
                        <wp:extent cx="304800" cy="304800"/>
                        <wp:effectExtent l="0" t="0" r="0" b="0"/>
                        <wp:wrapNone/>
                        <wp:docPr id="30" name="AutoShape_3_SpCnt_39"/>
                        <wp:cNvGraphicFramePr/>
                        <a:graphic xmlns:a="http://schemas.openxmlformats.org/drawingml/2006/main">
                          <a:graphicData uri="http://schemas.openxmlformats.org/drawingml/2006/picture">
                            <pic:pic xmlns:pic="http://schemas.openxmlformats.org/drawingml/2006/picture">
                              <pic:nvPicPr>
                                <pic:cNvPr id="30" name="AutoShape_3_SpCnt_39"/>
                                <pic:cNvPicPr/>
                              </pic:nvPicPr>
                              <pic:blipFill>
                                <a:blip r:embed="rId8"/>
                                <a:stretch>
                                  <a:fillRect/>
                                </a:stretch>
                              </pic:blipFill>
                              <pic:spPr>
                                <a:xfrm>
                                  <a:off x="0" y="0"/>
                                  <a:ext cx="304800" cy="304800"/>
                                </a:xfrm>
                                <a:prstGeom prst="rect">
                                  <a:avLst/>
                                </a:prstGeom>
                                <a:noFill/>
                                <a:ln>
                                  <a:noFill/>
                                </a:ln>
                              </pic:spPr>
                            </pic:pic>
                          </a:graphicData>
                        </a:graphic>
                      </wp:anchor>
                    </w:drawing>
                  </w:r>
                </w:p>
              </w:tc>
            </w:tr>
            <w:tr>
              <w:tblPrEx>
                <w:tblCellMar>
                  <w:top w:w="0" w:type="dxa"/>
                  <w:left w:w="108" w:type="dxa"/>
                  <w:bottom w:w="0" w:type="dxa"/>
                  <w:right w:w="108" w:type="dxa"/>
                </w:tblCellMar>
              </w:tblPrEx>
              <w:trPr>
                <w:trHeight w:val="54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182</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消声器</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1.名称：双腔微孔板消音器</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2.规格：1250*800，L=1000mm</w:t>
                  </w:r>
                </w:p>
              </w:tc>
              <w:tc>
                <w:tcPr>
                  <w:tcW w:w="1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bdr w:val="single" w:color="000000" w:sz="4" w:space="0"/>
                      <w:lang w:bidi="ar"/>
                    </w:rPr>
                    <w:drawing>
                      <wp:anchor distT="0" distB="0" distL="114300" distR="114300" simplePos="0" relativeHeight="251700224" behindDoc="0" locked="0" layoutInCell="1" allowOverlap="1">
                        <wp:simplePos x="0" y="0"/>
                        <wp:positionH relativeFrom="column">
                          <wp:posOffset>0</wp:posOffset>
                        </wp:positionH>
                        <wp:positionV relativeFrom="paragraph">
                          <wp:posOffset>0</wp:posOffset>
                        </wp:positionV>
                        <wp:extent cx="304800" cy="304800"/>
                        <wp:effectExtent l="0" t="0" r="0" b="0"/>
                        <wp:wrapNone/>
                        <wp:docPr id="25" name="AutoShape_3_SpCnt_40"/>
                        <wp:cNvGraphicFramePr/>
                        <a:graphic xmlns:a="http://schemas.openxmlformats.org/drawingml/2006/main">
                          <a:graphicData uri="http://schemas.openxmlformats.org/drawingml/2006/picture">
                            <pic:pic xmlns:pic="http://schemas.openxmlformats.org/drawingml/2006/picture">
                              <pic:nvPicPr>
                                <pic:cNvPr id="25" name="AutoShape_3_SpCnt_40"/>
                                <pic:cNvPicPr/>
                              </pic:nvPicPr>
                              <pic:blipFill>
                                <a:blip r:embed="rId8"/>
                                <a:stretch>
                                  <a:fillRect/>
                                </a:stretch>
                              </pic:blipFill>
                              <pic:spPr>
                                <a:xfrm>
                                  <a:off x="0" y="0"/>
                                  <a:ext cx="304800" cy="304800"/>
                                </a:xfrm>
                                <a:prstGeom prst="rect">
                                  <a:avLst/>
                                </a:prstGeom>
                                <a:noFill/>
                                <a:ln>
                                  <a:noFill/>
                                </a:ln>
                              </pic:spPr>
                            </pic:pic>
                          </a:graphicData>
                        </a:graphic>
                      </wp:anchor>
                    </w:drawing>
                  </w:r>
                  <w:r>
                    <w:rPr>
                      <w:rFonts w:hint="eastAsia" w:ascii="宋体" w:hAnsi="宋体" w:cs="宋体"/>
                      <w:color w:val="auto"/>
                      <w:sz w:val="20"/>
                      <w:szCs w:val="20"/>
                      <w:highlight w:val="none"/>
                      <w:bdr w:val="single" w:color="000000" w:sz="4" w:space="0"/>
                      <w:lang w:bidi="ar"/>
                    </w:rPr>
                    <w:drawing>
                      <wp:anchor distT="0" distB="0" distL="114300" distR="114300" simplePos="0" relativeHeight="251701248" behindDoc="0" locked="0" layoutInCell="1" allowOverlap="1">
                        <wp:simplePos x="0" y="0"/>
                        <wp:positionH relativeFrom="column">
                          <wp:posOffset>0</wp:posOffset>
                        </wp:positionH>
                        <wp:positionV relativeFrom="paragraph">
                          <wp:posOffset>0</wp:posOffset>
                        </wp:positionV>
                        <wp:extent cx="304800" cy="304800"/>
                        <wp:effectExtent l="0" t="0" r="0" b="0"/>
                        <wp:wrapNone/>
                        <wp:docPr id="20" name="AutoShape_3_SpCnt_41"/>
                        <wp:cNvGraphicFramePr/>
                        <a:graphic xmlns:a="http://schemas.openxmlformats.org/drawingml/2006/main">
                          <a:graphicData uri="http://schemas.openxmlformats.org/drawingml/2006/picture">
                            <pic:pic xmlns:pic="http://schemas.openxmlformats.org/drawingml/2006/picture">
                              <pic:nvPicPr>
                                <pic:cNvPr id="20" name="AutoShape_3_SpCnt_41"/>
                                <pic:cNvPicPr/>
                              </pic:nvPicPr>
                              <pic:blipFill>
                                <a:blip r:embed="rId8"/>
                                <a:stretch>
                                  <a:fillRect/>
                                </a:stretch>
                              </pic:blipFill>
                              <pic:spPr>
                                <a:xfrm>
                                  <a:off x="0" y="0"/>
                                  <a:ext cx="304800" cy="304800"/>
                                </a:xfrm>
                                <a:prstGeom prst="rect">
                                  <a:avLst/>
                                </a:prstGeom>
                                <a:noFill/>
                                <a:ln>
                                  <a:noFill/>
                                </a:ln>
                              </pic:spPr>
                            </pic:pic>
                          </a:graphicData>
                        </a:graphic>
                      </wp:anchor>
                    </w:drawing>
                  </w:r>
                  <w:r>
                    <w:rPr>
                      <w:rFonts w:hint="eastAsia" w:ascii="宋体" w:hAnsi="宋体" w:cs="宋体"/>
                      <w:color w:val="auto"/>
                      <w:sz w:val="20"/>
                      <w:szCs w:val="20"/>
                      <w:highlight w:val="none"/>
                      <w:bdr w:val="single" w:color="000000" w:sz="4" w:space="0"/>
                      <w:lang w:bidi="ar"/>
                    </w:rPr>
                    <w:drawing>
                      <wp:anchor distT="0" distB="0" distL="114300" distR="114300" simplePos="0" relativeHeight="251701248" behindDoc="0" locked="0" layoutInCell="1" allowOverlap="1">
                        <wp:simplePos x="0" y="0"/>
                        <wp:positionH relativeFrom="column">
                          <wp:posOffset>0</wp:posOffset>
                        </wp:positionH>
                        <wp:positionV relativeFrom="paragraph">
                          <wp:posOffset>0</wp:posOffset>
                        </wp:positionV>
                        <wp:extent cx="304800" cy="304800"/>
                        <wp:effectExtent l="0" t="0" r="0" b="0"/>
                        <wp:wrapNone/>
                        <wp:docPr id="27" name="AutoShape_3_SpCnt_42"/>
                        <wp:cNvGraphicFramePr/>
                        <a:graphic xmlns:a="http://schemas.openxmlformats.org/drawingml/2006/main">
                          <a:graphicData uri="http://schemas.openxmlformats.org/drawingml/2006/picture">
                            <pic:pic xmlns:pic="http://schemas.openxmlformats.org/drawingml/2006/picture">
                              <pic:nvPicPr>
                                <pic:cNvPr id="27" name="AutoShape_3_SpCnt_42"/>
                                <pic:cNvPicPr/>
                              </pic:nvPicPr>
                              <pic:blipFill>
                                <a:blip r:embed="rId8"/>
                                <a:stretch>
                                  <a:fillRect/>
                                </a:stretch>
                              </pic:blipFill>
                              <pic:spPr>
                                <a:xfrm>
                                  <a:off x="0" y="0"/>
                                  <a:ext cx="304800" cy="304800"/>
                                </a:xfrm>
                                <a:prstGeom prst="rect">
                                  <a:avLst/>
                                </a:prstGeom>
                                <a:noFill/>
                                <a:ln>
                                  <a:noFill/>
                                </a:ln>
                              </pic:spPr>
                            </pic:pic>
                          </a:graphicData>
                        </a:graphic>
                      </wp:anchor>
                    </w:drawing>
                  </w:r>
                  <w:r>
                    <w:rPr>
                      <w:rFonts w:hint="eastAsia" w:ascii="宋体" w:hAnsi="宋体" w:cs="宋体"/>
                      <w:color w:val="auto"/>
                      <w:sz w:val="20"/>
                      <w:szCs w:val="20"/>
                      <w:highlight w:val="none"/>
                      <w:lang w:bidi="ar"/>
                    </w:rPr>
                    <w:t xml:space="preserve">1.00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bdr w:val="single" w:color="000000" w:sz="4" w:space="0"/>
                      <w:lang w:bidi="ar"/>
                    </w:rPr>
                    <w:drawing>
                      <wp:anchor distT="0" distB="0" distL="114300" distR="114300" simplePos="0" relativeHeight="251702272" behindDoc="0" locked="0" layoutInCell="1" allowOverlap="1">
                        <wp:simplePos x="0" y="0"/>
                        <wp:positionH relativeFrom="column">
                          <wp:posOffset>0</wp:posOffset>
                        </wp:positionH>
                        <wp:positionV relativeFrom="paragraph">
                          <wp:posOffset>0</wp:posOffset>
                        </wp:positionV>
                        <wp:extent cx="304800" cy="304800"/>
                        <wp:effectExtent l="0" t="0" r="0" b="0"/>
                        <wp:wrapNone/>
                        <wp:docPr id="36" name="AutoShape_3_SpCnt_43"/>
                        <wp:cNvGraphicFramePr/>
                        <a:graphic xmlns:a="http://schemas.openxmlformats.org/drawingml/2006/main">
                          <a:graphicData uri="http://schemas.openxmlformats.org/drawingml/2006/picture">
                            <pic:pic xmlns:pic="http://schemas.openxmlformats.org/drawingml/2006/picture">
                              <pic:nvPicPr>
                                <pic:cNvPr id="36" name="AutoShape_3_SpCnt_43"/>
                                <pic:cNvPicPr/>
                              </pic:nvPicPr>
                              <pic:blipFill>
                                <a:blip r:embed="rId8"/>
                                <a:stretch>
                                  <a:fillRect/>
                                </a:stretch>
                              </pic:blipFill>
                              <pic:spPr>
                                <a:xfrm>
                                  <a:off x="0" y="0"/>
                                  <a:ext cx="304800" cy="304800"/>
                                </a:xfrm>
                                <a:prstGeom prst="rect">
                                  <a:avLst/>
                                </a:prstGeom>
                                <a:noFill/>
                                <a:ln>
                                  <a:noFill/>
                                </a:ln>
                              </pic:spPr>
                            </pic:pic>
                          </a:graphicData>
                        </a:graphic>
                      </wp:anchor>
                    </w:drawing>
                  </w:r>
                  <w:r>
                    <w:rPr>
                      <w:rFonts w:hint="eastAsia" w:ascii="宋体" w:hAnsi="宋体" w:cs="宋体"/>
                      <w:color w:val="auto"/>
                      <w:sz w:val="20"/>
                      <w:szCs w:val="20"/>
                      <w:highlight w:val="none"/>
                      <w:bdr w:val="single" w:color="000000" w:sz="4" w:space="0"/>
                      <w:lang w:bidi="ar"/>
                    </w:rPr>
                    <w:drawing>
                      <wp:anchor distT="0" distB="0" distL="114300" distR="114300" simplePos="0" relativeHeight="251703296" behindDoc="0" locked="0" layoutInCell="1" allowOverlap="1">
                        <wp:simplePos x="0" y="0"/>
                        <wp:positionH relativeFrom="column">
                          <wp:posOffset>0</wp:posOffset>
                        </wp:positionH>
                        <wp:positionV relativeFrom="paragraph">
                          <wp:posOffset>0</wp:posOffset>
                        </wp:positionV>
                        <wp:extent cx="304800" cy="304800"/>
                        <wp:effectExtent l="0" t="0" r="0" b="0"/>
                        <wp:wrapNone/>
                        <wp:docPr id="37" name="AutoShape_3_SpCnt_44"/>
                        <wp:cNvGraphicFramePr/>
                        <a:graphic xmlns:a="http://schemas.openxmlformats.org/drawingml/2006/main">
                          <a:graphicData uri="http://schemas.openxmlformats.org/drawingml/2006/picture">
                            <pic:pic xmlns:pic="http://schemas.openxmlformats.org/drawingml/2006/picture">
                              <pic:nvPicPr>
                                <pic:cNvPr id="37" name="AutoShape_3_SpCnt_44"/>
                                <pic:cNvPicPr/>
                              </pic:nvPicPr>
                              <pic:blipFill>
                                <a:blip r:embed="rId8"/>
                                <a:stretch>
                                  <a:fillRect/>
                                </a:stretch>
                              </pic:blipFill>
                              <pic:spPr>
                                <a:xfrm>
                                  <a:off x="0" y="0"/>
                                  <a:ext cx="304800" cy="304800"/>
                                </a:xfrm>
                                <a:prstGeom prst="rect">
                                  <a:avLst/>
                                </a:prstGeom>
                                <a:noFill/>
                                <a:ln>
                                  <a:noFill/>
                                </a:ln>
                              </pic:spPr>
                            </pic:pic>
                          </a:graphicData>
                        </a:graphic>
                      </wp:anchor>
                    </w:drawing>
                  </w:r>
                  <w:r>
                    <w:rPr>
                      <w:rFonts w:hint="eastAsia" w:ascii="宋体" w:hAnsi="宋体" w:cs="宋体"/>
                      <w:color w:val="auto"/>
                      <w:sz w:val="20"/>
                      <w:szCs w:val="20"/>
                      <w:highlight w:val="none"/>
                      <w:bdr w:val="single" w:color="000000" w:sz="4" w:space="0"/>
                      <w:lang w:bidi="ar"/>
                    </w:rPr>
                    <w:drawing>
                      <wp:anchor distT="0" distB="0" distL="114300" distR="114300" simplePos="0" relativeHeight="251704320" behindDoc="0" locked="0" layoutInCell="1" allowOverlap="1">
                        <wp:simplePos x="0" y="0"/>
                        <wp:positionH relativeFrom="column">
                          <wp:posOffset>0</wp:posOffset>
                        </wp:positionH>
                        <wp:positionV relativeFrom="paragraph">
                          <wp:posOffset>0</wp:posOffset>
                        </wp:positionV>
                        <wp:extent cx="304800" cy="304800"/>
                        <wp:effectExtent l="0" t="0" r="0" b="0"/>
                        <wp:wrapNone/>
                        <wp:docPr id="38" name="AutoShape_3_SpCnt_45"/>
                        <wp:cNvGraphicFramePr/>
                        <a:graphic xmlns:a="http://schemas.openxmlformats.org/drawingml/2006/main">
                          <a:graphicData uri="http://schemas.openxmlformats.org/drawingml/2006/picture">
                            <pic:pic xmlns:pic="http://schemas.openxmlformats.org/drawingml/2006/picture">
                              <pic:nvPicPr>
                                <pic:cNvPr id="38" name="AutoShape_3_SpCnt_45"/>
                                <pic:cNvPicPr/>
                              </pic:nvPicPr>
                              <pic:blipFill>
                                <a:blip r:embed="rId8"/>
                                <a:stretch>
                                  <a:fillRect/>
                                </a:stretch>
                              </pic:blipFill>
                              <pic:spPr>
                                <a:xfrm>
                                  <a:off x="0" y="0"/>
                                  <a:ext cx="304800" cy="304800"/>
                                </a:xfrm>
                                <a:prstGeom prst="rect">
                                  <a:avLst/>
                                </a:prstGeom>
                                <a:noFill/>
                                <a:ln>
                                  <a:noFill/>
                                </a:ln>
                              </pic:spPr>
                            </pic:pic>
                          </a:graphicData>
                        </a:graphic>
                      </wp:anchor>
                    </w:drawing>
                  </w:r>
                </w:p>
              </w:tc>
            </w:tr>
            <w:tr>
              <w:tblPrEx>
                <w:tblCellMar>
                  <w:top w:w="0" w:type="dxa"/>
                  <w:left w:w="108" w:type="dxa"/>
                  <w:bottom w:w="0" w:type="dxa"/>
                  <w:right w:w="108" w:type="dxa"/>
                </w:tblCellMar>
              </w:tblPrEx>
              <w:trPr>
                <w:trHeight w:val="54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183</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消声弯头</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1.名称：消声弯头</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2.规格：200*200</w:t>
                  </w:r>
                </w:p>
              </w:tc>
              <w:tc>
                <w:tcPr>
                  <w:tcW w:w="1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37.00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54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184</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消声弯头</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1.名称：消声弯头</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2.规格：250*200</w:t>
                  </w:r>
                </w:p>
              </w:tc>
              <w:tc>
                <w:tcPr>
                  <w:tcW w:w="1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bdr w:val="single" w:color="000000" w:sz="4" w:space="0"/>
                      <w:lang w:bidi="ar"/>
                    </w:rPr>
                    <w:drawing>
                      <wp:anchor distT="0" distB="0" distL="114300" distR="114300" simplePos="0" relativeHeight="251705344" behindDoc="0" locked="0" layoutInCell="1" allowOverlap="1">
                        <wp:simplePos x="0" y="0"/>
                        <wp:positionH relativeFrom="column">
                          <wp:posOffset>0</wp:posOffset>
                        </wp:positionH>
                        <wp:positionV relativeFrom="paragraph">
                          <wp:posOffset>0</wp:posOffset>
                        </wp:positionV>
                        <wp:extent cx="304800" cy="304800"/>
                        <wp:effectExtent l="0" t="0" r="0" b="0"/>
                        <wp:wrapNone/>
                        <wp:docPr id="26" name="AutoShape_3_SpCnt_46"/>
                        <wp:cNvGraphicFramePr/>
                        <a:graphic xmlns:a="http://schemas.openxmlformats.org/drawingml/2006/main">
                          <a:graphicData uri="http://schemas.openxmlformats.org/drawingml/2006/picture">
                            <pic:pic xmlns:pic="http://schemas.openxmlformats.org/drawingml/2006/picture">
                              <pic:nvPicPr>
                                <pic:cNvPr id="26" name="AutoShape_3_SpCnt_46"/>
                                <pic:cNvPicPr/>
                              </pic:nvPicPr>
                              <pic:blipFill>
                                <a:blip r:embed="rId8"/>
                                <a:stretch>
                                  <a:fillRect/>
                                </a:stretch>
                              </pic:blipFill>
                              <pic:spPr>
                                <a:xfrm>
                                  <a:off x="0" y="0"/>
                                  <a:ext cx="304800" cy="304800"/>
                                </a:xfrm>
                                <a:prstGeom prst="rect">
                                  <a:avLst/>
                                </a:prstGeom>
                                <a:noFill/>
                                <a:ln>
                                  <a:noFill/>
                                </a:ln>
                              </pic:spPr>
                            </pic:pic>
                          </a:graphicData>
                        </a:graphic>
                      </wp:anchor>
                    </w:drawing>
                  </w:r>
                  <w:r>
                    <w:rPr>
                      <w:rFonts w:hint="eastAsia" w:ascii="宋体" w:hAnsi="宋体" w:cs="宋体"/>
                      <w:color w:val="auto"/>
                      <w:sz w:val="20"/>
                      <w:szCs w:val="20"/>
                      <w:highlight w:val="none"/>
                      <w:lang w:bidi="ar"/>
                    </w:rPr>
                    <w:t xml:space="preserve">2.00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bdr w:val="single" w:color="000000" w:sz="4" w:space="0"/>
                      <w:lang w:bidi="ar"/>
                    </w:rPr>
                    <w:drawing>
                      <wp:anchor distT="0" distB="0" distL="114300" distR="114300" simplePos="0" relativeHeight="251706368" behindDoc="0" locked="0" layoutInCell="1" allowOverlap="1">
                        <wp:simplePos x="0" y="0"/>
                        <wp:positionH relativeFrom="column">
                          <wp:posOffset>0</wp:posOffset>
                        </wp:positionH>
                        <wp:positionV relativeFrom="paragraph">
                          <wp:posOffset>0</wp:posOffset>
                        </wp:positionV>
                        <wp:extent cx="304800" cy="304800"/>
                        <wp:effectExtent l="0" t="0" r="0" b="0"/>
                        <wp:wrapNone/>
                        <wp:docPr id="28" name="AutoShape_3_SpCnt_47"/>
                        <wp:cNvGraphicFramePr/>
                        <a:graphic xmlns:a="http://schemas.openxmlformats.org/drawingml/2006/main">
                          <a:graphicData uri="http://schemas.openxmlformats.org/drawingml/2006/picture">
                            <pic:pic xmlns:pic="http://schemas.openxmlformats.org/drawingml/2006/picture">
                              <pic:nvPicPr>
                                <pic:cNvPr id="28" name="AutoShape_3_SpCnt_47"/>
                                <pic:cNvPicPr/>
                              </pic:nvPicPr>
                              <pic:blipFill>
                                <a:blip r:embed="rId8"/>
                                <a:stretch>
                                  <a:fillRect/>
                                </a:stretch>
                              </pic:blipFill>
                              <pic:spPr>
                                <a:xfrm>
                                  <a:off x="0" y="0"/>
                                  <a:ext cx="304800" cy="304800"/>
                                </a:xfrm>
                                <a:prstGeom prst="rect">
                                  <a:avLst/>
                                </a:prstGeom>
                                <a:noFill/>
                                <a:ln>
                                  <a:noFill/>
                                </a:ln>
                              </pic:spPr>
                            </pic:pic>
                          </a:graphicData>
                        </a:graphic>
                      </wp:anchor>
                    </w:drawing>
                  </w:r>
                </w:p>
              </w:tc>
            </w:tr>
            <w:tr>
              <w:tblPrEx>
                <w:tblCellMar>
                  <w:top w:w="0" w:type="dxa"/>
                  <w:left w:w="108" w:type="dxa"/>
                  <w:bottom w:w="0" w:type="dxa"/>
                  <w:right w:w="108" w:type="dxa"/>
                </w:tblCellMar>
              </w:tblPrEx>
              <w:trPr>
                <w:trHeight w:val="54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185</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消声弯头</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1.名称：消声弯头</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2.规格：400*200</w:t>
                  </w:r>
                </w:p>
              </w:tc>
              <w:tc>
                <w:tcPr>
                  <w:tcW w:w="1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4.00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54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186</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消声弯头</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1.名称：消声弯头</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2.规格：320*200</w:t>
                  </w:r>
                </w:p>
              </w:tc>
              <w:tc>
                <w:tcPr>
                  <w:tcW w:w="1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3.00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54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187</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消声弯头</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1.名称：消声弯头</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2.规格：320*250</w:t>
                  </w:r>
                </w:p>
              </w:tc>
              <w:tc>
                <w:tcPr>
                  <w:tcW w:w="1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6.00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54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188</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消声弯头</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1.名称：消声弯头</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2.规格：400*250</w:t>
                  </w:r>
                </w:p>
              </w:tc>
              <w:tc>
                <w:tcPr>
                  <w:tcW w:w="1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bdr w:val="single" w:color="000000" w:sz="4" w:space="0"/>
                      <w:lang w:bidi="ar"/>
                    </w:rPr>
                    <w:drawing>
                      <wp:anchor distT="0" distB="0" distL="114300" distR="114300" simplePos="0" relativeHeight="251707392" behindDoc="0" locked="0" layoutInCell="1" allowOverlap="1">
                        <wp:simplePos x="0" y="0"/>
                        <wp:positionH relativeFrom="column">
                          <wp:posOffset>0</wp:posOffset>
                        </wp:positionH>
                        <wp:positionV relativeFrom="paragraph">
                          <wp:posOffset>0</wp:posOffset>
                        </wp:positionV>
                        <wp:extent cx="304800" cy="304800"/>
                        <wp:effectExtent l="0" t="0" r="0" b="0"/>
                        <wp:wrapNone/>
                        <wp:docPr id="29" name="AutoShape_3_SpCnt_48"/>
                        <wp:cNvGraphicFramePr/>
                        <a:graphic xmlns:a="http://schemas.openxmlformats.org/drawingml/2006/main">
                          <a:graphicData uri="http://schemas.openxmlformats.org/drawingml/2006/picture">
                            <pic:pic xmlns:pic="http://schemas.openxmlformats.org/drawingml/2006/picture">
                              <pic:nvPicPr>
                                <pic:cNvPr id="29" name="AutoShape_3_SpCnt_48"/>
                                <pic:cNvPicPr/>
                              </pic:nvPicPr>
                              <pic:blipFill>
                                <a:blip r:embed="rId8"/>
                                <a:stretch>
                                  <a:fillRect/>
                                </a:stretch>
                              </pic:blipFill>
                              <pic:spPr>
                                <a:xfrm>
                                  <a:off x="0" y="0"/>
                                  <a:ext cx="304800" cy="304800"/>
                                </a:xfrm>
                                <a:prstGeom prst="rect">
                                  <a:avLst/>
                                </a:prstGeom>
                                <a:noFill/>
                                <a:ln>
                                  <a:noFill/>
                                </a:ln>
                              </pic:spPr>
                            </pic:pic>
                          </a:graphicData>
                        </a:graphic>
                      </wp:anchor>
                    </w:drawing>
                  </w:r>
                  <w:r>
                    <w:rPr>
                      <w:rFonts w:hint="eastAsia" w:ascii="宋体" w:hAnsi="宋体" w:cs="宋体"/>
                      <w:color w:val="auto"/>
                      <w:sz w:val="20"/>
                      <w:szCs w:val="20"/>
                      <w:highlight w:val="none"/>
                      <w:lang w:bidi="ar"/>
                    </w:rPr>
                    <w:t xml:space="preserve">1.00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bdr w:val="single" w:color="000000" w:sz="4" w:space="0"/>
                      <w:lang w:bidi="ar"/>
                    </w:rPr>
                    <w:drawing>
                      <wp:anchor distT="0" distB="0" distL="114300" distR="114300" simplePos="0" relativeHeight="251708416" behindDoc="0" locked="0" layoutInCell="1" allowOverlap="1">
                        <wp:simplePos x="0" y="0"/>
                        <wp:positionH relativeFrom="column">
                          <wp:posOffset>0</wp:posOffset>
                        </wp:positionH>
                        <wp:positionV relativeFrom="paragraph">
                          <wp:posOffset>0</wp:posOffset>
                        </wp:positionV>
                        <wp:extent cx="304800" cy="304800"/>
                        <wp:effectExtent l="0" t="0" r="0" b="0"/>
                        <wp:wrapNone/>
                        <wp:docPr id="39" name="AutoShape_3_SpCnt_49"/>
                        <wp:cNvGraphicFramePr/>
                        <a:graphic xmlns:a="http://schemas.openxmlformats.org/drawingml/2006/main">
                          <a:graphicData uri="http://schemas.openxmlformats.org/drawingml/2006/picture">
                            <pic:pic xmlns:pic="http://schemas.openxmlformats.org/drawingml/2006/picture">
                              <pic:nvPicPr>
                                <pic:cNvPr id="39" name="AutoShape_3_SpCnt_49"/>
                                <pic:cNvPicPr/>
                              </pic:nvPicPr>
                              <pic:blipFill>
                                <a:blip r:embed="rId8"/>
                                <a:stretch>
                                  <a:fillRect/>
                                </a:stretch>
                              </pic:blipFill>
                              <pic:spPr>
                                <a:xfrm>
                                  <a:off x="0" y="0"/>
                                  <a:ext cx="304800" cy="304800"/>
                                </a:xfrm>
                                <a:prstGeom prst="rect">
                                  <a:avLst/>
                                </a:prstGeom>
                                <a:noFill/>
                                <a:ln>
                                  <a:noFill/>
                                </a:ln>
                              </pic:spPr>
                            </pic:pic>
                          </a:graphicData>
                        </a:graphic>
                      </wp:anchor>
                    </w:drawing>
                  </w:r>
                </w:p>
              </w:tc>
            </w:tr>
            <w:tr>
              <w:tblPrEx>
                <w:tblCellMar>
                  <w:top w:w="0" w:type="dxa"/>
                  <w:left w:w="108" w:type="dxa"/>
                  <w:bottom w:w="0" w:type="dxa"/>
                  <w:right w:w="108" w:type="dxa"/>
                </w:tblCellMar>
              </w:tblPrEx>
              <w:trPr>
                <w:trHeight w:val="54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189</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消声弯头</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1.名称：消声弯头</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2.规格：320*320</w:t>
                  </w:r>
                </w:p>
              </w:tc>
              <w:tc>
                <w:tcPr>
                  <w:tcW w:w="1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bdr w:val="single" w:color="000000" w:sz="4" w:space="0"/>
                      <w:lang w:bidi="ar"/>
                    </w:rPr>
                    <w:drawing>
                      <wp:anchor distT="0" distB="0" distL="114300" distR="114300" simplePos="0" relativeHeight="251709440" behindDoc="0" locked="0" layoutInCell="1" allowOverlap="1">
                        <wp:simplePos x="0" y="0"/>
                        <wp:positionH relativeFrom="column">
                          <wp:posOffset>0</wp:posOffset>
                        </wp:positionH>
                        <wp:positionV relativeFrom="paragraph">
                          <wp:posOffset>0</wp:posOffset>
                        </wp:positionV>
                        <wp:extent cx="304800" cy="304800"/>
                        <wp:effectExtent l="0" t="0" r="0" b="0"/>
                        <wp:wrapNone/>
                        <wp:docPr id="31" name="AutoShape_3_SpCnt_50"/>
                        <wp:cNvGraphicFramePr/>
                        <a:graphic xmlns:a="http://schemas.openxmlformats.org/drawingml/2006/main">
                          <a:graphicData uri="http://schemas.openxmlformats.org/drawingml/2006/picture">
                            <pic:pic xmlns:pic="http://schemas.openxmlformats.org/drawingml/2006/picture">
                              <pic:nvPicPr>
                                <pic:cNvPr id="31" name="AutoShape_3_SpCnt_50"/>
                                <pic:cNvPicPr/>
                              </pic:nvPicPr>
                              <pic:blipFill>
                                <a:blip r:embed="rId8"/>
                                <a:stretch>
                                  <a:fillRect/>
                                </a:stretch>
                              </pic:blipFill>
                              <pic:spPr>
                                <a:xfrm>
                                  <a:off x="0" y="0"/>
                                  <a:ext cx="304800" cy="304800"/>
                                </a:xfrm>
                                <a:prstGeom prst="rect">
                                  <a:avLst/>
                                </a:prstGeom>
                                <a:noFill/>
                                <a:ln>
                                  <a:noFill/>
                                </a:ln>
                              </pic:spPr>
                            </pic:pic>
                          </a:graphicData>
                        </a:graphic>
                      </wp:anchor>
                    </w:drawing>
                  </w:r>
                  <w:r>
                    <w:rPr>
                      <w:rFonts w:hint="eastAsia" w:ascii="宋体" w:hAnsi="宋体" w:cs="宋体"/>
                      <w:color w:val="auto"/>
                      <w:sz w:val="20"/>
                      <w:szCs w:val="20"/>
                      <w:highlight w:val="none"/>
                      <w:lang w:bidi="ar"/>
                    </w:rPr>
                    <w:t xml:space="preserve">7.00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bdr w:val="single" w:color="000000" w:sz="4" w:space="0"/>
                      <w:lang w:bidi="ar"/>
                    </w:rPr>
                    <w:drawing>
                      <wp:anchor distT="0" distB="0" distL="114300" distR="114300" simplePos="0" relativeHeight="251710464" behindDoc="0" locked="0" layoutInCell="1" allowOverlap="1">
                        <wp:simplePos x="0" y="0"/>
                        <wp:positionH relativeFrom="column">
                          <wp:posOffset>0</wp:posOffset>
                        </wp:positionH>
                        <wp:positionV relativeFrom="paragraph">
                          <wp:posOffset>0</wp:posOffset>
                        </wp:positionV>
                        <wp:extent cx="304800" cy="304800"/>
                        <wp:effectExtent l="0" t="0" r="0" b="0"/>
                        <wp:wrapNone/>
                        <wp:docPr id="34" name="AutoShape_3_SpCnt_51"/>
                        <wp:cNvGraphicFramePr/>
                        <a:graphic xmlns:a="http://schemas.openxmlformats.org/drawingml/2006/main">
                          <a:graphicData uri="http://schemas.openxmlformats.org/drawingml/2006/picture">
                            <pic:pic xmlns:pic="http://schemas.openxmlformats.org/drawingml/2006/picture">
                              <pic:nvPicPr>
                                <pic:cNvPr id="34" name="AutoShape_3_SpCnt_51"/>
                                <pic:cNvPicPr/>
                              </pic:nvPicPr>
                              <pic:blipFill>
                                <a:blip r:embed="rId8"/>
                                <a:stretch>
                                  <a:fillRect/>
                                </a:stretch>
                              </pic:blipFill>
                              <pic:spPr>
                                <a:xfrm>
                                  <a:off x="0" y="0"/>
                                  <a:ext cx="304800" cy="304800"/>
                                </a:xfrm>
                                <a:prstGeom prst="rect">
                                  <a:avLst/>
                                </a:prstGeom>
                                <a:noFill/>
                                <a:ln>
                                  <a:noFill/>
                                </a:ln>
                              </pic:spPr>
                            </pic:pic>
                          </a:graphicData>
                        </a:graphic>
                      </wp:anchor>
                    </w:drawing>
                  </w:r>
                </w:p>
              </w:tc>
            </w:tr>
            <w:tr>
              <w:tblPrEx>
                <w:tblCellMar>
                  <w:top w:w="0" w:type="dxa"/>
                  <w:left w:w="108" w:type="dxa"/>
                  <w:bottom w:w="0" w:type="dxa"/>
                  <w:right w:w="108" w:type="dxa"/>
                </w:tblCellMar>
              </w:tblPrEx>
              <w:trPr>
                <w:trHeight w:val="54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190</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消声弯头</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1.名称：消声弯头</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2.规格：400*320</w:t>
                  </w:r>
                </w:p>
              </w:tc>
              <w:tc>
                <w:tcPr>
                  <w:tcW w:w="1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bdr w:val="single" w:color="000000" w:sz="4" w:space="0"/>
                      <w:lang w:bidi="ar"/>
                    </w:rPr>
                    <w:drawing>
                      <wp:anchor distT="0" distB="0" distL="114300" distR="114300" simplePos="0" relativeHeight="251711488" behindDoc="0" locked="0" layoutInCell="1" allowOverlap="1">
                        <wp:simplePos x="0" y="0"/>
                        <wp:positionH relativeFrom="column">
                          <wp:posOffset>0</wp:posOffset>
                        </wp:positionH>
                        <wp:positionV relativeFrom="paragraph">
                          <wp:posOffset>0</wp:posOffset>
                        </wp:positionV>
                        <wp:extent cx="304800" cy="304800"/>
                        <wp:effectExtent l="0" t="0" r="0" b="0"/>
                        <wp:wrapNone/>
                        <wp:docPr id="35" name="AutoShape_3_SpCnt_52"/>
                        <wp:cNvGraphicFramePr/>
                        <a:graphic xmlns:a="http://schemas.openxmlformats.org/drawingml/2006/main">
                          <a:graphicData uri="http://schemas.openxmlformats.org/drawingml/2006/picture">
                            <pic:pic xmlns:pic="http://schemas.openxmlformats.org/drawingml/2006/picture">
                              <pic:nvPicPr>
                                <pic:cNvPr id="35" name="AutoShape_3_SpCnt_52"/>
                                <pic:cNvPicPr/>
                              </pic:nvPicPr>
                              <pic:blipFill>
                                <a:blip r:embed="rId8"/>
                                <a:stretch>
                                  <a:fillRect/>
                                </a:stretch>
                              </pic:blipFill>
                              <pic:spPr>
                                <a:xfrm>
                                  <a:off x="0" y="0"/>
                                  <a:ext cx="304800" cy="304800"/>
                                </a:xfrm>
                                <a:prstGeom prst="rect">
                                  <a:avLst/>
                                </a:prstGeom>
                                <a:noFill/>
                                <a:ln>
                                  <a:noFill/>
                                </a:ln>
                              </pic:spPr>
                            </pic:pic>
                          </a:graphicData>
                        </a:graphic>
                      </wp:anchor>
                    </w:drawing>
                  </w:r>
                  <w:r>
                    <w:rPr>
                      <w:rFonts w:hint="eastAsia" w:ascii="宋体" w:hAnsi="宋体" w:cs="宋体"/>
                      <w:color w:val="auto"/>
                      <w:sz w:val="20"/>
                      <w:szCs w:val="20"/>
                      <w:highlight w:val="none"/>
                      <w:bdr w:val="single" w:color="000000" w:sz="4" w:space="0"/>
                      <w:lang w:bidi="ar"/>
                    </w:rPr>
                    <w:drawing>
                      <wp:anchor distT="0" distB="0" distL="114300" distR="114300" simplePos="0" relativeHeight="251712512" behindDoc="0" locked="0" layoutInCell="1" allowOverlap="1">
                        <wp:simplePos x="0" y="0"/>
                        <wp:positionH relativeFrom="column">
                          <wp:posOffset>0</wp:posOffset>
                        </wp:positionH>
                        <wp:positionV relativeFrom="paragraph">
                          <wp:posOffset>0</wp:posOffset>
                        </wp:positionV>
                        <wp:extent cx="304800" cy="304800"/>
                        <wp:effectExtent l="0" t="0" r="0" b="0"/>
                        <wp:wrapNone/>
                        <wp:docPr id="24" name="AutoShape_3_SpCnt_53"/>
                        <wp:cNvGraphicFramePr/>
                        <a:graphic xmlns:a="http://schemas.openxmlformats.org/drawingml/2006/main">
                          <a:graphicData uri="http://schemas.openxmlformats.org/drawingml/2006/picture">
                            <pic:pic xmlns:pic="http://schemas.openxmlformats.org/drawingml/2006/picture">
                              <pic:nvPicPr>
                                <pic:cNvPr id="24" name="AutoShape_3_SpCnt_53"/>
                                <pic:cNvPicPr/>
                              </pic:nvPicPr>
                              <pic:blipFill>
                                <a:blip r:embed="rId8"/>
                                <a:stretch>
                                  <a:fillRect/>
                                </a:stretch>
                              </pic:blipFill>
                              <pic:spPr>
                                <a:xfrm>
                                  <a:off x="0" y="0"/>
                                  <a:ext cx="304800" cy="304800"/>
                                </a:xfrm>
                                <a:prstGeom prst="rect">
                                  <a:avLst/>
                                </a:prstGeom>
                                <a:noFill/>
                                <a:ln>
                                  <a:noFill/>
                                </a:ln>
                              </pic:spPr>
                            </pic:pic>
                          </a:graphicData>
                        </a:graphic>
                      </wp:anchor>
                    </w:drawing>
                  </w:r>
                  <w:r>
                    <w:rPr>
                      <w:rFonts w:hint="eastAsia" w:ascii="宋体" w:hAnsi="宋体" w:cs="宋体"/>
                      <w:color w:val="auto"/>
                      <w:sz w:val="20"/>
                      <w:szCs w:val="20"/>
                      <w:highlight w:val="none"/>
                      <w:lang w:bidi="ar"/>
                    </w:rPr>
                    <w:t xml:space="preserve">11.00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bdr w:val="single" w:color="000000" w:sz="4" w:space="0"/>
                      <w:lang w:bidi="ar"/>
                    </w:rPr>
                    <w:drawing>
                      <wp:anchor distT="0" distB="0" distL="114300" distR="114300" simplePos="0" relativeHeight="251713536" behindDoc="0" locked="0" layoutInCell="1" allowOverlap="1">
                        <wp:simplePos x="0" y="0"/>
                        <wp:positionH relativeFrom="column">
                          <wp:posOffset>0</wp:posOffset>
                        </wp:positionH>
                        <wp:positionV relativeFrom="paragraph">
                          <wp:posOffset>0</wp:posOffset>
                        </wp:positionV>
                        <wp:extent cx="304800" cy="304800"/>
                        <wp:effectExtent l="0" t="0" r="0" b="0"/>
                        <wp:wrapNone/>
                        <wp:docPr id="21" name="AutoShape_3_SpCnt_54"/>
                        <wp:cNvGraphicFramePr/>
                        <a:graphic xmlns:a="http://schemas.openxmlformats.org/drawingml/2006/main">
                          <a:graphicData uri="http://schemas.openxmlformats.org/drawingml/2006/picture">
                            <pic:pic xmlns:pic="http://schemas.openxmlformats.org/drawingml/2006/picture">
                              <pic:nvPicPr>
                                <pic:cNvPr id="21" name="AutoShape_3_SpCnt_54"/>
                                <pic:cNvPicPr/>
                              </pic:nvPicPr>
                              <pic:blipFill>
                                <a:blip r:embed="rId8"/>
                                <a:stretch>
                                  <a:fillRect/>
                                </a:stretch>
                              </pic:blipFill>
                              <pic:spPr>
                                <a:xfrm>
                                  <a:off x="0" y="0"/>
                                  <a:ext cx="304800" cy="304800"/>
                                </a:xfrm>
                                <a:prstGeom prst="rect">
                                  <a:avLst/>
                                </a:prstGeom>
                                <a:noFill/>
                                <a:ln>
                                  <a:noFill/>
                                </a:ln>
                              </pic:spPr>
                            </pic:pic>
                          </a:graphicData>
                        </a:graphic>
                      </wp:anchor>
                    </w:drawing>
                  </w:r>
                  <w:r>
                    <w:rPr>
                      <w:rFonts w:hint="eastAsia" w:ascii="宋体" w:hAnsi="宋体" w:cs="宋体"/>
                      <w:color w:val="auto"/>
                      <w:sz w:val="20"/>
                      <w:szCs w:val="20"/>
                      <w:highlight w:val="none"/>
                      <w:bdr w:val="single" w:color="000000" w:sz="4" w:space="0"/>
                      <w:lang w:bidi="ar"/>
                    </w:rPr>
                    <w:drawing>
                      <wp:anchor distT="0" distB="0" distL="114300" distR="114300" simplePos="0" relativeHeight="251714560" behindDoc="0" locked="0" layoutInCell="1" allowOverlap="1">
                        <wp:simplePos x="0" y="0"/>
                        <wp:positionH relativeFrom="column">
                          <wp:posOffset>0</wp:posOffset>
                        </wp:positionH>
                        <wp:positionV relativeFrom="paragraph">
                          <wp:posOffset>0</wp:posOffset>
                        </wp:positionV>
                        <wp:extent cx="304800" cy="304800"/>
                        <wp:effectExtent l="0" t="0" r="0" b="0"/>
                        <wp:wrapNone/>
                        <wp:docPr id="22" name="AutoShape_3_SpCnt_55"/>
                        <wp:cNvGraphicFramePr/>
                        <a:graphic xmlns:a="http://schemas.openxmlformats.org/drawingml/2006/main">
                          <a:graphicData uri="http://schemas.openxmlformats.org/drawingml/2006/picture">
                            <pic:pic xmlns:pic="http://schemas.openxmlformats.org/drawingml/2006/picture">
                              <pic:nvPicPr>
                                <pic:cNvPr id="22" name="AutoShape_3_SpCnt_55"/>
                                <pic:cNvPicPr/>
                              </pic:nvPicPr>
                              <pic:blipFill>
                                <a:blip r:embed="rId8"/>
                                <a:stretch>
                                  <a:fillRect/>
                                </a:stretch>
                              </pic:blipFill>
                              <pic:spPr>
                                <a:xfrm>
                                  <a:off x="0" y="0"/>
                                  <a:ext cx="304800" cy="304800"/>
                                </a:xfrm>
                                <a:prstGeom prst="rect">
                                  <a:avLst/>
                                </a:prstGeom>
                                <a:noFill/>
                                <a:ln>
                                  <a:noFill/>
                                </a:ln>
                              </pic:spPr>
                            </pic:pic>
                          </a:graphicData>
                        </a:graphic>
                      </wp:anchor>
                    </w:drawing>
                  </w:r>
                </w:p>
              </w:tc>
            </w:tr>
            <w:tr>
              <w:tblPrEx>
                <w:tblCellMar>
                  <w:top w:w="0" w:type="dxa"/>
                  <w:left w:w="108" w:type="dxa"/>
                  <w:bottom w:w="0" w:type="dxa"/>
                  <w:right w:w="108" w:type="dxa"/>
                </w:tblCellMar>
              </w:tblPrEx>
              <w:trPr>
                <w:trHeight w:val="54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191</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消声弯头</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1.名称：消声弯头</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2.规格：400*400</w:t>
                  </w:r>
                </w:p>
              </w:tc>
              <w:tc>
                <w:tcPr>
                  <w:tcW w:w="1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bdr w:val="single" w:color="000000" w:sz="4" w:space="0"/>
                      <w:lang w:bidi="ar"/>
                    </w:rPr>
                    <w:drawing>
                      <wp:anchor distT="0" distB="0" distL="114300" distR="114300" simplePos="0" relativeHeight="251715584" behindDoc="0" locked="0" layoutInCell="1" allowOverlap="1">
                        <wp:simplePos x="0" y="0"/>
                        <wp:positionH relativeFrom="column">
                          <wp:posOffset>0</wp:posOffset>
                        </wp:positionH>
                        <wp:positionV relativeFrom="paragraph">
                          <wp:posOffset>0</wp:posOffset>
                        </wp:positionV>
                        <wp:extent cx="304800" cy="304800"/>
                        <wp:effectExtent l="0" t="0" r="0" b="0"/>
                        <wp:wrapNone/>
                        <wp:docPr id="32" name="AutoShape_3_SpCnt_56"/>
                        <wp:cNvGraphicFramePr/>
                        <a:graphic xmlns:a="http://schemas.openxmlformats.org/drawingml/2006/main">
                          <a:graphicData uri="http://schemas.openxmlformats.org/drawingml/2006/picture">
                            <pic:pic xmlns:pic="http://schemas.openxmlformats.org/drawingml/2006/picture">
                              <pic:nvPicPr>
                                <pic:cNvPr id="32" name="AutoShape_3_SpCnt_56"/>
                                <pic:cNvPicPr/>
                              </pic:nvPicPr>
                              <pic:blipFill>
                                <a:blip r:embed="rId8"/>
                                <a:stretch>
                                  <a:fillRect/>
                                </a:stretch>
                              </pic:blipFill>
                              <pic:spPr>
                                <a:xfrm>
                                  <a:off x="0" y="0"/>
                                  <a:ext cx="304800" cy="304800"/>
                                </a:xfrm>
                                <a:prstGeom prst="rect">
                                  <a:avLst/>
                                </a:prstGeom>
                                <a:noFill/>
                                <a:ln>
                                  <a:noFill/>
                                </a:ln>
                              </pic:spPr>
                            </pic:pic>
                          </a:graphicData>
                        </a:graphic>
                      </wp:anchor>
                    </w:drawing>
                  </w:r>
                  <w:r>
                    <w:rPr>
                      <w:rFonts w:hint="eastAsia" w:ascii="宋体" w:hAnsi="宋体" w:cs="宋体"/>
                      <w:color w:val="auto"/>
                      <w:sz w:val="20"/>
                      <w:szCs w:val="20"/>
                      <w:highlight w:val="none"/>
                      <w:lang w:bidi="ar"/>
                    </w:rPr>
                    <w:t xml:space="preserve">2.00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bdr w:val="single" w:color="000000" w:sz="4" w:space="0"/>
                      <w:lang w:bidi="ar"/>
                    </w:rPr>
                    <w:drawing>
                      <wp:anchor distT="0" distB="0" distL="114300" distR="114300" simplePos="0" relativeHeight="251716608" behindDoc="0" locked="0" layoutInCell="1" allowOverlap="1">
                        <wp:simplePos x="0" y="0"/>
                        <wp:positionH relativeFrom="column">
                          <wp:posOffset>0</wp:posOffset>
                        </wp:positionH>
                        <wp:positionV relativeFrom="paragraph">
                          <wp:posOffset>0</wp:posOffset>
                        </wp:positionV>
                        <wp:extent cx="304800" cy="304800"/>
                        <wp:effectExtent l="0" t="0" r="0" b="0"/>
                        <wp:wrapNone/>
                        <wp:docPr id="33" name="AutoShape_3_SpCnt_57"/>
                        <wp:cNvGraphicFramePr/>
                        <a:graphic xmlns:a="http://schemas.openxmlformats.org/drawingml/2006/main">
                          <a:graphicData uri="http://schemas.openxmlformats.org/drawingml/2006/picture">
                            <pic:pic xmlns:pic="http://schemas.openxmlformats.org/drawingml/2006/picture">
                              <pic:nvPicPr>
                                <pic:cNvPr id="33" name="AutoShape_3_SpCnt_57"/>
                                <pic:cNvPicPr/>
                              </pic:nvPicPr>
                              <pic:blipFill>
                                <a:blip r:embed="rId8"/>
                                <a:stretch>
                                  <a:fillRect/>
                                </a:stretch>
                              </pic:blipFill>
                              <pic:spPr>
                                <a:xfrm>
                                  <a:off x="0" y="0"/>
                                  <a:ext cx="304800" cy="304800"/>
                                </a:xfrm>
                                <a:prstGeom prst="rect">
                                  <a:avLst/>
                                </a:prstGeom>
                                <a:noFill/>
                                <a:ln>
                                  <a:noFill/>
                                </a:ln>
                              </pic:spPr>
                            </pic:pic>
                          </a:graphicData>
                        </a:graphic>
                      </wp:anchor>
                    </w:drawing>
                  </w:r>
                </w:p>
              </w:tc>
            </w:tr>
            <w:tr>
              <w:tblPrEx>
                <w:tblCellMar>
                  <w:top w:w="0" w:type="dxa"/>
                  <w:left w:w="108" w:type="dxa"/>
                  <w:bottom w:w="0" w:type="dxa"/>
                  <w:right w:w="108" w:type="dxa"/>
                </w:tblCellMar>
              </w:tblPrEx>
              <w:trPr>
                <w:trHeight w:val="54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192</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消声弯头</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1.名称：消声弯头</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2.规格：400*450</w:t>
                  </w:r>
                </w:p>
              </w:tc>
              <w:tc>
                <w:tcPr>
                  <w:tcW w:w="1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bdr w:val="single" w:color="000000" w:sz="4" w:space="0"/>
                      <w:lang w:bidi="ar"/>
                    </w:rPr>
                    <w:drawing>
                      <wp:anchor distT="0" distB="0" distL="114300" distR="114300" simplePos="0" relativeHeight="251717632" behindDoc="0" locked="0" layoutInCell="1" allowOverlap="1">
                        <wp:simplePos x="0" y="0"/>
                        <wp:positionH relativeFrom="column">
                          <wp:posOffset>0</wp:posOffset>
                        </wp:positionH>
                        <wp:positionV relativeFrom="paragraph">
                          <wp:posOffset>0</wp:posOffset>
                        </wp:positionV>
                        <wp:extent cx="304800" cy="304800"/>
                        <wp:effectExtent l="0" t="0" r="0" b="0"/>
                        <wp:wrapNone/>
                        <wp:docPr id="23" name="AutoShape_3_SpCnt_58"/>
                        <wp:cNvGraphicFramePr/>
                        <a:graphic xmlns:a="http://schemas.openxmlformats.org/drawingml/2006/main">
                          <a:graphicData uri="http://schemas.openxmlformats.org/drawingml/2006/picture">
                            <pic:pic xmlns:pic="http://schemas.openxmlformats.org/drawingml/2006/picture">
                              <pic:nvPicPr>
                                <pic:cNvPr id="23" name="AutoShape_3_SpCnt_58"/>
                                <pic:cNvPicPr/>
                              </pic:nvPicPr>
                              <pic:blipFill>
                                <a:blip r:embed="rId8"/>
                                <a:stretch>
                                  <a:fillRect/>
                                </a:stretch>
                              </pic:blipFill>
                              <pic:spPr>
                                <a:xfrm>
                                  <a:off x="0" y="0"/>
                                  <a:ext cx="304800" cy="304800"/>
                                </a:xfrm>
                                <a:prstGeom prst="rect">
                                  <a:avLst/>
                                </a:prstGeom>
                                <a:noFill/>
                                <a:ln>
                                  <a:noFill/>
                                </a:ln>
                              </pic:spPr>
                            </pic:pic>
                          </a:graphicData>
                        </a:graphic>
                      </wp:anchor>
                    </w:drawing>
                  </w:r>
                  <w:r>
                    <w:rPr>
                      <w:rFonts w:hint="eastAsia" w:ascii="宋体" w:hAnsi="宋体" w:cs="宋体"/>
                      <w:color w:val="auto"/>
                      <w:sz w:val="20"/>
                      <w:szCs w:val="20"/>
                      <w:highlight w:val="none"/>
                      <w:lang w:bidi="ar"/>
                    </w:rPr>
                    <w:t xml:space="preserve">1.00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54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193</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消声弯头</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1.名称：消声弯头</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2.规格：500*400</w:t>
                  </w:r>
                </w:p>
              </w:tc>
              <w:tc>
                <w:tcPr>
                  <w:tcW w:w="1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bdr w:val="single" w:color="000000" w:sz="4" w:space="0"/>
                      <w:lang w:bidi="ar"/>
                    </w:rPr>
                    <w:drawing>
                      <wp:anchor distT="0" distB="0" distL="114300" distR="114300" simplePos="0" relativeHeight="251718656" behindDoc="0" locked="0" layoutInCell="1" allowOverlap="1">
                        <wp:simplePos x="0" y="0"/>
                        <wp:positionH relativeFrom="column">
                          <wp:posOffset>0</wp:posOffset>
                        </wp:positionH>
                        <wp:positionV relativeFrom="paragraph">
                          <wp:posOffset>0</wp:posOffset>
                        </wp:positionV>
                        <wp:extent cx="304800" cy="304800"/>
                        <wp:effectExtent l="0" t="0" r="0" b="0"/>
                        <wp:wrapNone/>
                        <wp:docPr id="56" name="AutoShape_3_SpCnt_59"/>
                        <wp:cNvGraphicFramePr/>
                        <a:graphic xmlns:a="http://schemas.openxmlformats.org/drawingml/2006/main">
                          <a:graphicData uri="http://schemas.openxmlformats.org/drawingml/2006/picture">
                            <pic:pic xmlns:pic="http://schemas.openxmlformats.org/drawingml/2006/picture">
                              <pic:nvPicPr>
                                <pic:cNvPr id="56" name="AutoShape_3_SpCnt_59"/>
                                <pic:cNvPicPr/>
                              </pic:nvPicPr>
                              <pic:blipFill>
                                <a:blip r:embed="rId8"/>
                                <a:stretch>
                                  <a:fillRect/>
                                </a:stretch>
                              </pic:blipFill>
                              <pic:spPr>
                                <a:xfrm>
                                  <a:off x="0" y="0"/>
                                  <a:ext cx="304800" cy="304800"/>
                                </a:xfrm>
                                <a:prstGeom prst="rect">
                                  <a:avLst/>
                                </a:prstGeom>
                                <a:noFill/>
                                <a:ln>
                                  <a:noFill/>
                                </a:ln>
                              </pic:spPr>
                            </pic:pic>
                          </a:graphicData>
                        </a:graphic>
                      </wp:anchor>
                    </w:drawing>
                  </w:r>
                  <w:r>
                    <w:rPr>
                      <w:rFonts w:hint="eastAsia" w:ascii="宋体" w:hAnsi="宋体" w:cs="宋体"/>
                      <w:color w:val="auto"/>
                      <w:sz w:val="20"/>
                      <w:szCs w:val="20"/>
                      <w:highlight w:val="none"/>
                      <w:bdr w:val="single" w:color="000000" w:sz="4" w:space="0"/>
                      <w:lang w:bidi="ar"/>
                    </w:rPr>
                    <w:drawing>
                      <wp:anchor distT="0" distB="0" distL="114300" distR="114300" simplePos="0" relativeHeight="251719680" behindDoc="0" locked="0" layoutInCell="1" allowOverlap="1">
                        <wp:simplePos x="0" y="0"/>
                        <wp:positionH relativeFrom="column">
                          <wp:posOffset>0</wp:posOffset>
                        </wp:positionH>
                        <wp:positionV relativeFrom="paragraph">
                          <wp:posOffset>0</wp:posOffset>
                        </wp:positionV>
                        <wp:extent cx="304800" cy="304800"/>
                        <wp:effectExtent l="0" t="0" r="0" b="0"/>
                        <wp:wrapNone/>
                        <wp:docPr id="44" name="AutoShape_3_SpCnt_60"/>
                        <wp:cNvGraphicFramePr/>
                        <a:graphic xmlns:a="http://schemas.openxmlformats.org/drawingml/2006/main">
                          <a:graphicData uri="http://schemas.openxmlformats.org/drawingml/2006/picture">
                            <pic:pic xmlns:pic="http://schemas.openxmlformats.org/drawingml/2006/picture">
                              <pic:nvPicPr>
                                <pic:cNvPr id="44" name="AutoShape_3_SpCnt_60"/>
                                <pic:cNvPicPr/>
                              </pic:nvPicPr>
                              <pic:blipFill>
                                <a:blip r:embed="rId8"/>
                                <a:stretch>
                                  <a:fillRect/>
                                </a:stretch>
                              </pic:blipFill>
                              <pic:spPr>
                                <a:xfrm>
                                  <a:off x="0" y="0"/>
                                  <a:ext cx="304800" cy="304800"/>
                                </a:xfrm>
                                <a:prstGeom prst="rect">
                                  <a:avLst/>
                                </a:prstGeom>
                                <a:noFill/>
                                <a:ln>
                                  <a:noFill/>
                                </a:ln>
                              </pic:spPr>
                            </pic:pic>
                          </a:graphicData>
                        </a:graphic>
                      </wp:anchor>
                    </w:drawing>
                  </w:r>
                  <w:r>
                    <w:rPr>
                      <w:rFonts w:hint="eastAsia" w:ascii="宋体" w:hAnsi="宋体" w:cs="宋体"/>
                      <w:color w:val="auto"/>
                      <w:sz w:val="20"/>
                      <w:szCs w:val="20"/>
                      <w:highlight w:val="none"/>
                      <w:lang w:bidi="ar"/>
                    </w:rPr>
                    <w:t xml:space="preserve">10.00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bdr w:val="single" w:color="000000" w:sz="4" w:space="0"/>
                      <w:lang w:bidi="ar"/>
                    </w:rPr>
                    <w:drawing>
                      <wp:anchor distT="0" distB="0" distL="114300" distR="114300" simplePos="0" relativeHeight="251720704" behindDoc="0" locked="0" layoutInCell="1" allowOverlap="1">
                        <wp:simplePos x="0" y="0"/>
                        <wp:positionH relativeFrom="column">
                          <wp:posOffset>0</wp:posOffset>
                        </wp:positionH>
                        <wp:positionV relativeFrom="paragraph">
                          <wp:posOffset>0</wp:posOffset>
                        </wp:positionV>
                        <wp:extent cx="304800" cy="304800"/>
                        <wp:effectExtent l="0" t="0" r="0" b="0"/>
                        <wp:wrapNone/>
                        <wp:docPr id="48" name="AutoShape_3_SpCnt_61"/>
                        <wp:cNvGraphicFramePr/>
                        <a:graphic xmlns:a="http://schemas.openxmlformats.org/drawingml/2006/main">
                          <a:graphicData uri="http://schemas.openxmlformats.org/drawingml/2006/picture">
                            <pic:pic xmlns:pic="http://schemas.openxmlformats.org/drawingml/2006/picture">
                              <pic:nvPicPr>
                                <pic:cNvPr id="48" name="AutoShape_3_SpCnt_61"/>
                                <pic:cNvPicPr/>
                              </pic:nvPicPr>
                              <pic:blipFill>
                                <a:blip r:embed="rId8"/>
                                <a:stretch>
                                  <a:fillRect/>
                                </a:stretch>
                              </pic:blipFill>
                              <pic:spPr>
                                <a:xfrm>
                                  <a:off x="0" y="0"/>
                                  <a:ext cx="304800" cy="304800"/>
                                </a:xfrm>
                                <a:prstGeom prst="rect">
                                  <a:avLst/>
                                </a:prstGeom>
                                <a:noFill/>
                                <a:ln>
                                  <a:noFill/>
                                </a:ln>
                              </pic:spPr>
                            </pic:pic>
                          </a:graphicData>
                        </a:graphic>
                      </wp:anchor>
                    </w:drawing>
                  </w:r>
                  <w:r>
                    <w:rPr>
                      <w:rFonts w:hint="eastAsia" w:ascii="宋体" w:hAnsi="宋体" w:cs="宋体"/>
                      <w:color w:val="auto"/>
                      <w:sz w:val="20"/>
                      <w:szCs w:val="20"/>
                      <w:highlight w:val="none"/>
                      <w:bdr w:val="single" w:color="000000" w:sz="4" w:space="0"/>
                      <w:lang w:bidi="ar"/>
                    </w:rPr>
                    <w:drawing>
                      <wp:anchor distT="0" distB="0" distL="114300" distR="114300" simplePos="0" relativeHeight="251721728" behindDoc="0" locked="0" layoutInCell="1" allowOverlap="1">
                        <wp:simplePos x="0" y="0"/>
                        <wp:positionH relativeFrom="column">
                          <wp:posOffset>0</wp:posOffset>
                        </wp:positionH>
                        <wp:positionV relativeFrom="paragraph">
                          <wp:posOffset>0</wp:posOffset>
                        </wp:positionV>
                        <wp:extent cx="304800" cy="304800"/>
                        <wp:effectExtent l="0" t="0" r="0" b="0"/>
                        <wp:wrapNone/>
                        <wp:docPr id="47" name="AutoShape_3_SpCnt_62"/>
                        <wp:cNvGraphicFramePr/>
                        <a:graphic xmlns:a="http://schemas.openxmlformats.org/drawingml/2006/main">
                          <a:graphicData uri="http://schemas.openxmlformats.org/drawingml/2006/picture">
                            <pic:pic xmlns:pic="http://schemas.openxmlformats.org/drawingml/2006/picture">
                              <pic:nvPicPr>
                                <pic:cNvPr id="47" name="AutoShape_3_SpCnt_62"/>
                                <pic:cNvPicPr/>
                              </pic:nvPicPr>
                              <pic:blipFill>
                                <a:blip r:embed="rId8"/>
                                <a:stretch>
                                  <a:fillRect/>
                                </a:stretch>
                              </pic:blipFill>
                              <pic:spPr>
                                <a:xfrm>
                                  <a:off x="0" y="0"/>
                                  <a:ext cx="304800" cy="304800"/>
                                </a:xfrm>
                                <a:prstGeom prst="rect">
                                  <a:avLst/>
                                </a:prstGeom>
                                <a:noFill/>
                                <a:ln>
                                  <a:noFill/>
                                </a:ln>
                              </pic:spPr>
                            </pic:pic>
                          </a:graphicData>
                        </a:graphic>
                      </wp:anchor>
                    </w:drawing>
                  </w:r>
                </w:p>
              </w:tc>
            </w:tr>
            <w:tr>
              <w:tblPrEx>
                <w:tblCellMar>
                  <w:top w:w="0" w:type="dxa"/>
                  <w:left w:w="108" w:type="dxa"/>
                  <w:bottom w:w="0" w:type="dxa"/>
                  <w:right w:w="108" w:type="dxa"/>
                </w:tblCellMar>
              </w:tblPrEx>
              <w:trPr>
                <w:trHeight w:val="54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194</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消声弯头</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1.名称：消声弯头</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2.规格：500*630</w:t>
                  </w:r>
                </w:p>
              </w:tc>
              <w:tc>
                <w:tcPr>
                  <w:tcW w:w="1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bdr w:val="single" w:color="000000" w:sz="4" w:space="0"/>
                      <w:lang w:bidi="ar"/>
                    </w:rPr>
                    <w:drawing>
                      <wp:anchor distT="0" distB="0" distL="114300" distR="114300" simplePos="0" relativeHeight="251722752" behindDoc="0" locked="0" layoutInCell="1" allowOverlap="1">
                        <wp:simplePos x="0" y="0"/>
                        <wp:positionH relativeFrom="column">
                          <wp:posOffset>0</wp:posOffset>
                        </wp:positionH>
                        <wp:positionV relativeFrom="paragraph">
                          <wp:posOffset>0</wp:posOffset>
                        </wp:positionV>
                        <wp:extent cx="304800" cy="304800"/>
                        <wp:effectExtent l="0" t="0" r="0" b="0"/>
                        <wp:wrapNone/>
                        <wp:docPr id="59" name="AutoShape_3_SpCnt_63"/>
                        <wp:cNvGraphicFramePr/>
                        <a:graphic xmlns:a="http://schemas.openxmlformats.org/drawingml/2006/main">
                          <a:graphicData uri="http://schemas.openxmlformats.org/drawingml/2006/picture">
                            <pic:pic xmlns:pic="http://schemas.openxmlformats.org/drawingml/2006/picture">
                              <pic:nvPicPr>
                                <pic:cNvPr id="59" name="AutoShape_3_SpCnt_63"/>
                                <pic:cNvPicPr/>
                              </pic:nvPicPr>
                              <pic:blipFill>
                                <a:blip r:embed="rId8"/>
                                <a:stretch>
                                  <a:fillRect/>
                                </a:stretch>
                              </pic:blipFill>
                              <pic:spPr>
                                <a:xfrm>
                                  <a:off x="0" y="0"/>
                                  <a:ext cx="304800" cy="304800"/>
                                </a:xfrm>
                                <a:prstGeom prst="rect">
                                  <a:avLst/>
                                </a:prstGeom>
                                <a:noFill/>
                                <a:ln>
                                  <a:noFill/>
                                </a:ln>
                              </pic:spPr>
                            </pic:pic>
                          </a:graphicData>
                        </a:graphic>
                      </wp:anchor>
                    </w:drawing>
                  </w:r>
                  <w:r>
                    <w:rPr>
                      <w:rFonts w:hint="eastAsia" w:ascii="宋体" w:hAnsi="宋体" w:cs="宋体"/>
                      <w:color w:val="auto"/>
                      <w:sz w:val="20"/>
                      <w:szCs w:val="20"/>
                      <w:highlight w:val="none"/>
                      <w:bdr w:val="single" w:color="000000" w:sz="4" w:space="0"/>
                      <w:lang w:bidi="ar"/>
                    </w:rPr>
                    <w:drawing>
                      <wp:anchor distT="0" distB="0" distL="114300" distR="114300" simplePos="0" relativeHeight="251723776" behindDoc="0" locked="0" layoutInCell="1" allowOverlap="1">
                        <wp:simplePos x="0" y="0"/>
                        <wp:positionH relativeFrom="column">
                          <wp:posOffset>0</wp:posOffset>
                        </wp:positionH>
                        <wp:positionV relativeFrom="paragraph">
                          <wp:posOffset>0</wp:posOffset>
                        </wp:positionV>
                        <wp:extent cx="304800" cy="304800"/>
                        <wp:effectExtent l="0" t="0" r="0" b="0"/>
                        <wp:wrapNone/>
                        <wp:docPr id="57" name="AutoShape_3_SpCnt_64"/>
                        <wp:cNvGraphicFramePr/>
                        <a:graphic xmlns:a="http://schemas.openxmlformats.org/drawingml/2006/main">
                          <a:graphicData uri="http://schemas.openxmlformats.org/drawingml/2006/picture">
                            <pic:pic xmlns:pic="http://schemas.openxmlformats.org/drawingml/2006/picture">
                              <pic:nvPicPr>
                                <pic:cNvPr id="57" name="AutoShape_3_SpCnt_64"/>
                                <pic:cNvPicPr/>
                              </pic:nvPicPr>
                              <pic:blipFill>
                                <a:blip r:embed="rId8"/>
                                <a:stretch>
                                  <a:fillRect/>
                                </a:stretch>
                              </pic:blipFill>
                              <pic:spPr>
                                <a:xfrm>
                                  <a:off x="0" y="0"/>
                                  <a:ext cx="304800" cy="304800"/>
                                </a:xfrm>
                                <a:prstGeom prst="rect">
                                  <a:avLst/>
                                </a:prstGeom>
                                <a:noFill/>
                                <a:ln>
                                  <a:noFill/>
                                </a:ln>
                              </pic:spPr>
                            </pic:pic>
                          </a:graphicData>
                        </a:graphic>
                      </wp:anchor>
                    </w:drawing>
                  </w:r>
                  <w:r>
                    <w:rPr>
                      <w:rFonts w:hint="eastAsia" w:ascii="宋体" w:hAnsi="宋体" w:cs="宋体"/>
                      <w:color w:val="auto"/>
                      <w:sz w:val="20"/>
                      <w:szCs w:val="20"/>
                      <w:highlight w:val="none"/>
                      <w:lang w:bidi="ar"/>
                    </w:rPr>
                    <w:t xml:space="preserve">2.00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54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195</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消声弯头</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1.名称：消声弯头</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2.规格：630*400</w:t>
                  </w:r>
                </w:p>
              </w:tc>
              <w:tc>
                <w:tcPr>
                  <w:tcW w:w="1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8.00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54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196</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消声弯头</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1.名称：消声弯头</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2.规格：630*500</w:t>
                  </w:r>
                </w:p>
              </w:tc>
              <w:tc>
                <w:tcPr>
                  <w:tcW w:w="1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bdr w:val="single" w:color="000000" w:sz="4" w:space="0"/>
                      <w:lang w:bidi="ar"/>
                    </w:rPr>
                    <w:drawing>
                      <wp:anchor distT="0" distB="0" distL="114300" distR="114300" simplePos="0" relativeHeight="251724800" behindDoc="0" locked="0" layoutInCell="1" allowOverlap="1">
                        <wp:simplePos x="0" y="0"/>
                        <wp:positionH relativeFrom="column">
                          <wp:posOffset>0</wp:posOffset>
                        </wp:positionH>
                        <wp:positionV relativeFrom="paragraph">
                          <wp:posOffset>0</wp:posOffset>
                        </wp:positionV>
                        <wp:extent cx="304800" cy="304800"/>
                        <wp:effectExtent l="0" t="0" r="0" b="0"/>
                        <wp:wrapNone/>
                        <wp:docPr id="40" name="AutoShape_3_SpCnt_65"/>
                        <wp:cNvGraphicFramePr/>
                        <a:graphic xmlns:a="http://schemas.openxmlformats.org/drawingml/2006/main">
                          <a:graphicData uri="http://schemas.openxmlformats.org/drawingml/2006/picture">
                            <pic:pic xmlns:pic="http://schemas.openxmlformats.org/drawingml/2006/picture">
                              <pic:nvPicPr>
                                <pic:cNvPr id="40" name="AutoShape_3_SpCnt_65"/>
                                <pic:cNvPicPr/>
                              </pic:nvPicPr>
                              <pic:blipFill>
                                <a:blip r:embed="rId8"/>
                                <a:stretch>
                                  <a:fillRect/>
                                </a:stretch>
                              </pic:blipFill>
                              <pic:spPr>
                                <a:xfrm>
                                  <a:off x="0" y="0"/>
                                  <a:ext cx="304800" cy="304800"/>
                                </a:xfrm>
                                <a:prstGeom prst="rect">
                                  <a:avLst/>
                                </a:prstGeom>
                                <a:noFill/>
                                <a:ln>
                                  <a:noFill/>
                                </a:ln>
                              </pic:spPr>
                            </pic:pic>
                          </a:graphicData>
                        </a:graphic>
                      </wp:anchor>
                    </w:drawing>
                  </w:r>
                  <w:r>
                    <w:rPr>
                      <w:rFonts w:hint="eastAsia" w:ascii="宋体" w:hAnsi="宋体" w:cs="宋体"/>
                      <w:color w:val="auto"/>
                      <w:sz w:val="20"/>
                      <w:szCs w:val="20"/>
                      <w:highlight w:val="none"/>
                      <w:bdr w:val="single" w:color="000000" w:sz="4" w:space="0"/>
                      <w:lang w:bidi="ar"/>
                    </w:rPr>
                    <w:drawing>
                      <wp:anchor distT="0" distB="0" distL="114300" distR="114300" simplePos="0" relativeHeight="251725824" behindDoc="0" locked="0" layoutInCell="1" allowOverlap="1">
                        <wp:simplePos x="0" y="0"/>
                        <wp:positionH relativeFrom="column">
                          <wp:posOffset>0</wp:posOffset>
                        </wp:positionH>
                        <wp:positionV relativeFrom="paragraph">
                          <wp:posOffset>0</wp:posOffset>
                        </wp:positionV>
                        <wp:extent cx="304800" cy="304800"/>
                        <wp:effectExtent l="0" t="0" r="0" b="0"/>
                        <wp:wrapNone/>
                        <wp:docPr id="53" name="AutoShape_3_SpCnt_66"/>
                        <wp:cNvGraphicFramePr/>
                        <a:graphic xmlns:a="http://schemas.openxmlformats.org/drawingml/2006/main">
                          <a:graphicData uri="http://schemas.openxmlformats.org/drawingml/2006/picture">
                            <pic:pic xmlns:pic="http://schemas.openxmlformats.org/drawingml/2006/picture">
                              <pic:nvPicPr>
                                <pic:cNvPr id="53" name="AutoShape_3_SpCnt_66"/>
                                <pic:cNvPicPr/>
                              </pic:nvPicPr>
                              <pic:blipFill>
                                <a:blip r:embed="rId8"/>
                                <a:stretch>
                                  <a:fillRect/>
                                </a:stretch>
                              </pic:blipFill>
                              <pic:spPr>
                                <a:xfrm>
                                  <a:off x="0" y="0"/>
                                  <a:ext cx="304800" cy="304800"/>
                                </a:xfrm>
                                <a:prstGeom prst="rect">
                                  <a:avLst/>
                                </a:prstGeom>
                                <a:noFill/>
                                <a:ln>
                                  <a:noFill/>
                                </a:ln>
                              </pic:spPr>
                            </pic:pic>
                          </a:graphicData>
                        </a:graphic>
                      </wp:anchor>
                    </w:drawing>
                  </w:r>
                  <w:r>
                    <w:rPr>
                      <w:rFonts w:hint="eastAsia" w:ascii="宋体" w:hAnsi="宋体" w:cs="宋体"/>
                      <w:color w:val="auto"/>
                      <w:sz w:val="20"/>
                      <w:szCs w:val="20"/>
                      <w:highlight w:val="none"/>
                      <w:lang w:bidi="ar"/>
                    </w:rPr>
                    <w:t xml:space="preserve">13.00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bdr w:val="single" w:color="000000" w:sz="4" w:space="0"/>
                      <w:lang w:bidi="ar"/>
                    </w:rPr>
                    <w:drawing>
                      <wp:anchor distT="0" distB="0" distL="114300" distR="114300" simplePos="0" relativeHeight="251726848" behindDoc="0" locked="0" layoutInCell="1" allowOverlap="1">
                        <wp:simplePos x="0" y="0"/>
                        <wp:positionH relativeFrom="column">
                          <wp:posOffset>0</wp:posOffset>
                        </wp:positionH>
                        <wp:positionV relativeFrom="paragraph">
                          <wp:posOffset>0</wp:posOffset>
                        </wp:positionV>
                        <wp:extent cx="304800" cy="304800"/>
                        <wp:effectExtent l="0" t="0" r="0" b="0"/>
                        <wp:wrapNone/>
                        <wp:docPr id="58" name="AutoShape_3_SpCnt_67"/>
                        <wp:cNvGraphicFramePr/>
                        <a:graphic xmlns:a="http://schemas.openxmlformats.org/drawingml/2006/main">
                          <a:graphicData uri="http://schemas.openxmlformats.org/drawingml/2006/picture">
                            <pic:pic xmlns:pic="http://schemas.openxmlformats.org/drawingml/2006/picture">
                              <pic:nvPicPr>
                                <pic:cNvPr id="58" name="AutoShape_3_SpCnt_67"/>
                                <pic:cNvPicPr/>
                              </pic:nvPicPr>
                              <pic:blipFill>
                                <a:blip r:embed="rId8"/>
                                <a:stretch>
                                  <a:fillRect/>
                                </a:stretch>
                              </pic:blipFill>
                              <pic:spPr>
                                <a:xfrm>
                                  <a:off x="0" y="0"/>
                                  <a:ext cx="304800" cy="304800"/>
                                </a:xfrm>
                                <a:prstGeom prst="rect">
                                  <a:avLst/>
                                </a:prstGeom>
                                <a:noFill/>
                                <a:ln>
                                  <a:noFill/>
                                </a:ln>
                              </pic:spPr>
                            </pic:pic>
                          </a:graphicData>
                        </a:graphic>
                      </wp:anchor>
                    </w:drawing>
                  </w:r>
                  <w:r>
                    <w:rPr>
                      <w:rFonts w:hint="eastAsia" w:ascii="宋体" w:hAnsi="宋体" w:cs="宋体"/>
                      <w:color w:val="auto"/>
                      <w:sz w:val="20"/>
                      <w:szCs w:val="20"/>
                      <w:highlight w:val="none"/>
                      <w:bdr w:val="single" w:color="000000" w:sz="4" w:space="0"/>
                      <w:lang w:bidi="ar"/>
                    </w:rPr>
                    <w:drawing>
                      <wp:anchor distT="0" distB="0" distL="114300" distR="114300" simplePos="0" relativeHeight="251727872" behindDoc="0" locked="0" layoutInCell="1" allowOverlap="1">
                        <wp:simplePos x="0" y="0"/>
                        <wp:positionH relativeFrom="column">
                          <wp:posOffset>0</wp:posOffset>
                        </wp:positionH>
                        <wp:positionV relativeFrom="paragraph">
                          <wp:posOffset>0</wp:posOffset>
                        </wp:positionV>
                        <wp:extent cx="304800" cy="304800"/>
                        <wp:effectExtent l="0" t="0" r="0" b="0"/>
                        <wp:wrapNone/>
                        <wp:docPr id="54" name="AutoShape_3_SpCnt_68"/>
                        <wp:cNvGraphicFramePr/>
                        <a:graphic xmlns:a="http://schemas.openxmlformats.org/drawingml/2006/main">
                          <a:graphicData uri="http://schemas.openxmlformats.org/drawingml/2006/picture">
                            <pic:pic xmlns:pic="http://schemas.openxmlformats.org/drawingml/2006/picture">
                              <pic:nvPicPr>
                                <pic:cNvPr id="54" name="AutoShape_3_SpCnt_68"/>
                                <pic:cNvPicPr/>
                              </pic:nvPicPr>
                              <pic:blipFill>
                                <a:blip r:embed="rId8"/>
                                <a:stretch>
                                  <a:fillRect/>
                                </a:stretch>
                              </pic:blipFill>
                              <pic:spPr>
                                <a:xfrm>
                                  <a:off x="0" y="0"/>
                                  <a:ext cx="304800" cy="304800"/>
                                </a:xfrm>
                                <a:prstGeom prst="rect">
                                  <a:avLst/>
                                </a:prstGeom>
                                <a:noFill/>
                                <a:ln>
                                  <a:noFill/>
                                </a:ln>
                              </pic:spPr>
                            </pic:pic>
                          </a:graphicData>
                        </a:graphic>
                      </wp:anchor>
                    </w:drawing>
                  </w:r>
                </w:p>
              </w:tc>
            </w:tr>
            <w:tr>
              <w:tblPrEx>
                <w:tblCellMar>
                  <w:top w:w="0" w:type="dxa"/>
                  <w:left w:w="108" w:type="dxa"/>
                  <w:bottom w:w="0" w:type="dxa"/>
                  <w:right w:w="108" w:type="dxa"/>
                </w:tblCellMar>
              </w:tblPrEx>
              <w:trPr>
                <w:trHeight w:val="54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197</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消声弯头</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1.名称：消声弯头</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2.规格：800*500</w:t>
                  </w:r>
                </w:p>
              </w:tc>
              <w:tc>
                <w:tcPr>
                  <w:tcW w:w="1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5.00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54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198</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消声弯头</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1.名称：消声弯头</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2.规格：800*630</w:t>
                  </w:r>
                </w:p>
              </w:tc>
              <w:tc>
                <w:tcPr>
                  <w:tcW w:w="1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bdr w:val="single" w:color="000000" w:sz="4" w:space="0"/>
                      <w:lang w:bidi="ar"/>
                    </w:rPr>
                    <w:drawing>
                      <wp:anchor distT="0" distB="0" distL="114300" distR="114300" simplePos="0" relativeHeight="251728896" behindDoc="0" locked="0" layoutInCell="1" allowOverlap="1">
                        <wp:simplePos x="0" y="0"/>
                        <wp:positionH relativeFrom="column">
                          <wp:posOffset>0</wp:posOffset>
                        </wp:positionH>
                        <wp:positionV relativeFrom="paragraph">
                          <wp:posOffset>0</wp:posOffset>
                        </wp:positionV>
                        <wp:extent cx="304800" cy="304800"/>
                        <wp:effectExtent l="0" t="0" r="0" b="0"/>
                        <wp:wrapNone/>
                        <wp:docPr id="60" name="AutoShape_3_SpCnt_69"/>
                        <wp:cNvGraphicFramePr/>
                        <a:graphic xmlns:a="http://schemas.openxmlformats.org/drawingml/2006/main">
                          <a:graphicData uri="http://schemas.openxmlformats.org/drawingml/2006/picture">
                            <pic:pic xmlns:pic="http://schemas.openxmlformats.org/drawingml/2006/picture">
                              <pic:nvPicPr>
                                <pic:cNvPr id="60" name="AutoShape_3_SpCnt_69"/>
                                <pic:cNvPicPr/>
                              </pic:nvPicPr>
                              <pic:blipFill>
                                <a:blip r:embed="rId8"/>
                                <a:stretch>
                                  <a:fillRect/>
                                </a:stretch>
                              </pic:blipFill>
                              <pic:spPr>
                                <a:xfrm>
                                  <a:off x="0" y="0"/>
                                  <a:ext cx="304800" cy="304800"/>
                                </a:xfrm>
                                <a:prstGeom prst="rect">
                                  <a:avLst/>
                                </a:prstGeom>
                                <a:noFill/>
                                <a:ln>
                                  <a:noFill/>
                                </a:ln>
                              </pic:spPr>
                            </pic:pic>
                          </a:graphicData>
                        </a:graphic>
                      </wp:anchor>
                    </w:drawing>
                  </w:r>
                  <w:r>
                    <w:rPr>
                      <w:rFonts w:hint="eastAsia" w:ascii="宋体" w:hAnsi="宋体" w:cs="宋体"/>
                      <w:color w:val="auto"/>
                      <w:sz w:val="20"/>
                      <w:szCs w:val="20"/>
                      <w:highlight w:val="none"/>
                      <w:lang w:bidi="ar"/>
                    </w:rPr>
                    <w:t xml:space="preserve">6.00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bdr w:val="single" w:color="000000" w:sz="4" w:space="0"/>
                      <w:lang w:bidi="ar"/>
                    </w:rPr>
                    <w:drawing>
                      <wp:anchor distT="0" distB="0" distL="114300" distR="114300" simplePos="0" relativeHeight="251729920" behindDoc="0" locked="0" layoutInCell="1" allowOverlap="1">
                        <wp:simplePos x="0" y="0"/>
                        <wp:positionH relativeFrom="column">
                          <wp:posOffset>0</wp:posOffset>
                        </wp:positionH>
                        <wp:positionV relativeFrom="paragraph">
                          <wp:posOffset>0</wp:posOffset>
                        </wp:positionV>
                        <wp:extent cx="304800" cy="304800"/>
                        <wp:effectExtent l="0" t="0" r="0" b="0"/>
                        <wp:wrapNone/>
                        <wp:docPr id="43" name="AutoShape_3_SpCnt_70"/>
                        <wp:cNvGraphicFramePr/>
                        <a:graphic xmlns:a="http://schemas.openxmlformats.org/drawingml/2006/main">
                          <a:graphicData uri="http://schemas.openxmlformats.org/drawingml/2006/picture">
                            <pic:pic xmlns:pic="http://schemas.openxmlformats.org/drawingml/2006/picture">
                              <pic:nvPicPr>
                                <pic:cNvPr id="43" name="AutoShape_3_SpCnt_70"/>
                                <pic:cNvPicPr/>
                              </pic:nvPicPr>
                              <pic:blipFill>
                                <a:blip r:embed="rId8"/>
                                <a:stretch>
                                  <a:fillRect/>
                                </a:stretch>
                              </pic:blipFill>
                              <pic:spPr>
                                <a:xfrm>
                                  <a:off x="0" y="0"/>
                                  <a:ext cx="304800" cy="304800"/>
                                </a:xfrm>
                                <a:prstGeom prst="rect">
                                  <a:avLst/>
                                </a:prstGeom>
                                <a:noFill/>
                                <a:ln>
                                  <a:noFill/>
                                </a:ln>
                              </pic:spPr>
                            </pic:pic>
                          </a:graphicData>
                        </a:graphic>
                      </wp:anchor>
                    </w:drawing>
                  </w:r>
                </w:p>
              </w:tc>
            </w:tr>
            <w:tr>
              <w:tblPrEx>
                <w:tblCellMar>
                  <w:top w:w="0" w:type="dxa"/>
                  <w:left w:w="108" w:type="dxa"/>
                  <w:bottom w:w="0" w:type="dxa"/>
                  <w:right w:w="108" w:type="dxa"/>
                </w:tblCellMar>
              </w:tblPrEx>
              <w:trPr>
                <w:trHeight w:val="54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199</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消声弯头</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1.名称：消声弯头</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2.规格：1000*630</w:t>
                  </w:r>
                </w:p>
              </w:tc>
              <w:tc>
                <w:tcPr>
                  <w:tcW w:w="1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7.00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54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200</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消声弯头</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1.名称：消声弯头</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2.规格：1250*630</w:t>
                  </w:r>
                </w:p>
              </w:tc>
              <w:tc>
                <w:tcPr>
                  <w:tcW w:w="1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54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201</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消声弯头</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1.名称：消声弯头</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2.规格：1250*800</w:t>
                  </w:r>
                </w:p>
              </w:tc>
              <w:tc>
                <w:tcPr>
                  <w:tcW w:w="1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bdr w:val="single" w:color="000000" w:sz="4" w:space="0"/>
                      <w:lang w:bidi="ar"/>
                    </w:rPr>
                    <w:drawing>
                      <wp:anchor distT="0" distB="0" distL="114300" distR="114300" simplePos="0" relativeHeight="251730944" behindDoc="0" locked="0" layoutInCell="1" allowOverlap="1">
                        <wp:simplePos x="0" y="0"/>
                        <wp:positionH relativeFrom="column">
                          <wp:posOffset>0</wp:posOffset>
                        </wp:positionH>
                        <wp:positionV relativeFrom="paragraph">
                          <wp:posOffset>0</wp:posOffset>
                        </wp:positionV>
                        <wp:extent cx="304800" cy="304800"/>
                        <wp:effectExtent l="0" t="0" r="0" b="0"/>
                        <wp:wrapNone/>
                        <wp:docPr id="45" name="AutoShape_3_SpCnt_71"/>
                        <wp:cNvGraphicFramePr/>
                        <a:graphic xmlns:a="http://schemas.openxmlformats.org/drawingml/2006/main">
                          <a:graphicData uri="http://schemas.openxmlformats.org/drawingml/2006/picture">
                            <pic:pic xmlns:pic="http://schemas.openxmlformats.org/drawingml/2006/picture">
                              <pic:nvPicPr>
                                <pic:cNvPr id="45" name="AutoShape_3_SpCnt_71"/>
                                <pic:cNvPicPr/>
                              </pic:nvPicPr>
                              <pic:blipFill>
                                <a:blip r:embed="rId8"/>
                                <a:stretch>
                                  <a:fillRect/>
                                </a:stretch>
                              </pic:blipFill>
                              <pic:spPr>
                                <a:xfrm>
                                  <a:off x="0" y="0"/>
                                  <a:ext cx="304800" cy="304800"/>
                                </a:xfrm>
                                <a:prstGeom prst="rect">
                                  <a:avLst/>
                                </a:prstGeom>
                                <a:noFill/>
                                <a:ln>
                                  <a:noFill/>
                                </a:ln>
                              </pic:spPr>
                            </pic:pic>
                          </a:graphicData>
                        </a:graphic>
                      </wp:anchor>
                    </w:drawing>
                  </w:r>
                  <w:r>
                    <w:rPr>
                      <w:rFonts w:hint="eastAsia" w:ascii="宋体" w:hAnsi="宋体" w:cs="宋体"/>
                      <w:color w:val="auto"/>
                      <w:sz w:val="20"/>
                      <w:szCs w:val="20"/>
                      <w:highlight w:val="none"/>
                      <w:lang w:bidi="ar"/>
                    </w:rPr>
                    <w:t xml:space="preserve">2.00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bdr w:val="single" w:color="000000" w:sz="4" w:space="0"/>
                      <w:lang w:bidi="ar"/>
                    </w:rPr>
                    <w:drawing>
                      <wp:anchor distT="0" distB="0" distL="114300" distR="114300" simplePos="0" relativeHeight="251731968" behindDoc="0" locked="0" layoutInCell="1" allowOverlap="1">
                        <wp:simplePos x="0" y="0"/>
                        <wp:positionH relativeFrom="column">
                          <wp:posOffset>0</wp:posOffset>
                        </wp:positionH>
                        <wp:positionV relativeFrom="paragraph">
                          <wp:posOffset>0</wp:posOffset>
                        </wp:positionV>
                        <wp:extent cx="304800" cy="304800"/>
                        <wp:effectExtent l="0" t="0" r="0" b="0"/>
                        <wp:wrapNone/>
                        <wp:docPr id="49" name="AutoShape_3_SpCnt_72"/>
                        <wp:cNvGraphicFramePr/>
                        <a:graphic xmlns:a="http://schemas.openxmlformats.org/drawingml/2006/main">
                          <a:graphicData uri="http://schemas.openxmlformats.org/drawingml/2006/picture">
                            <pic:pic xmlns:pic="http://schemas.openxmlformats.org/drawingml/2006/picture">
                              <pic:nvPicPr>
                                <pic:cNvPr id="49" name="AutoShape_3_SpCnt_72"/>
                                <pic:cNvPicPr/>
                              </pic:nvPicPr>
                              <pic:blipFill>
                                <a:blip r:embed="rId8"/>
                                <a:stretch>
                                  <a:fillRect/>
                                </a:stretch>
                              </pic:blipFill>
                              <pic:spPr>
                                <a:xfrm>
                                  <a:off x="0" y="0"/>
                                  <a:ext cx="304800" cy="304800"/>
                                </a:xfrm>
                                <a:prstGeom prst="rect">
                                  <a:avLst/>
                                </a:prstGeom>
                                <a:noFill/>
                                <a:ln>
                                  <a:noFill/>
                                </a:ln>
                              </pic:spPr>
                            </pic:pic>
                          </a:graphicData>
                        </a:graphic>
                      </wp:anchor>
                    </w:drawing>
                  </w:r>
                </w:p>
              </w:tc>
            </w:tr>
            <w:tr>
              <w:tblPrEx>
                <w:tblCellMar>
                  <w:top w:w="0" w:type="dxa"/>
                  <w:left w:w="108" w:type="dxa"/>
                  <w:bottom w:w="0" w:type="dxa"/>
                  <w:right w:w="108" w:type="dxa"/>
                </w:tblCellMar>
              </w:tblPrEx>
              <w:trPr>
                <w:trHeight w:val="75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bCs/>
                      <w:color w:val="auto"/>
                      <w:sz w:val="20"/>
                      <w:szCs w:val="20"/>
                      <w:highlight w:val="none"/>
                    </w:rPr>
                  </w:pPr>
                  <w:r>
                    <w:rPr>
                      <w:rFonts w:hint="eastAsia" w:ascii="宋体" w:hAnsi="宋体" w:cs="宋体"/>
                      <w:b/>
                      <w:bCs/>
                      <w:color w:val="auto"/>
                      <w:sz w:val="20"/>
                      <w:szCs w:val="20"/>
                      <w:highlight w:val="none"/>
                      <w:lang w:bidi="ar"/>
                    </w:rPr>
                    <w:t>五</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b/>
                      <w:bCs/>
                      <w:color w:val="auto"/>
                      <w:sz w:val="20"/>
                      <w:szCs w:val="20"/>
                      <w:highlight w:val="none"/>
                    </w:rPr>
                  </w:pPr>
                  <w:r>
                    <w:rPr>
                      <w:rFonts w:hint="eastAsia" w:ascii="宋体" w:hAnsi="宋体" w:cs="宋体"/>
                      <w:b/>
                      <w:bCs/>
                      <w:color w:val="auto"/>
                      <w:sz w:val="20"/>
                      <w:szCs w:val="20"/>
                      <w:highlight w:val="none"/>
                      <w:lang w:bidi="ar"/>
                    </w:rPr>
                    <w:t>水系统</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b/>
                      <w:bCs/>
                      <w:color w:val="auto"/>
                      <w:sz w:val="20"/>
                      <w:szCs w:val="20"/>
                      <w:highlight w:val="none"/>
                    </w:rPr>
                  </w:pPr>
                </w:p>
              </w:tc>
              <w:tc>
                <w:tcPr>
                  <w:tcW w:w="1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auto"/>
                      <w:sz w:val="20"/>
                      <w:szCs w:val="20"/>
                      <w:highlight w:val="none"/>
                    </w:rPr>
                  </w:pP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 w:val="20"/>
                      <w:szCs w:val="20"/>
                      <w:highlight w:val="none"/>
                    </w:rPr>
                  </w:pP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bdr w:val="single" w:color="000000" w:sz="4" w:space="0"/>
                      <w:lang w:bidi="ar"/>
                    </w:rPr>
                    <w:drawing>
                      <wp:anchor distT="0" distB="0" distL="114300" distR="114300" simplePos="0" relativeHeight="251732992" behindDoc="0" locked="0" layoutInCell="1" allowOverlap="1">
                        <wp:simplePos x="0" y="0"/>
                        <wp:positionH relativeFrom="column">
                          <wp:posOffset>0</wp:posOffset>
                        </wp:positionH>
                        <wp:positionV relativeFrom="paragraph">
                          <wp:posOffset>0</wp:posOffset>
                        </wp:positionV>
                        <wp:extent cx="304800" cy="304800"/>
                        <wp:effectExtent l="0" t="0" r="0" b="0"/>
                        <wp:wrapNone/>
                        <wp:docPr id="46" name="AutoShape_3_SpCnt_73"/>
                        <wp:cNvGraphicFramePr/>
                        <a:graphic xmlns:a="http://schemas.openxmlformats.org/drawingml/2006/main">
                          <a:graphicData uri="http://schemas.openxmlformats.org/drawingml/2006/picture">
                            <pic:pic xmlns:pic="http://schemas.openxmlformats.org/drawingml/2006/picture">
                              <pic:nvPicPr>
                                <pic:cNvPr id="46" name="AutoShape_3_SpCnt_73"/>
                                <pic:cNvPicPr/>
                              </pic:nvPicPr>
                              <pic:blipFill>
                                <a:blip r:embed="rId8"/>
                                <a:stretch>
                                  <a:fillRect/>
                                </a:stretch>
                              </pic:blipFill>
                              <pic:spPr>
                                <a:xfrm>
                                  <a:off x="0" y="0"/>
                                  <a:ext cx="304800" cy="304800"/>
                                </a:xfrm>
                                <a:prstGeom prst="rect">
                                  <a:avLst/>
                                </a:prstGeom>
                                <a:noFill/>
                                <a:ln>
                                  <a:noFill/>
                                </a:ln>
                              </pic:spPr>
                            </pic:pic>
                          </a:graphicData>
                        </a:graphic>
                      </wp:anchor>
                    </w:drawing>
                  </w:r>
                  <w:r>
                    <w:rPr>
                      <w:rFonts w:hint="eastAsia" w:ascii="宋体" w:hAnsi="宋体" w:cs="宋体"/>
                      <w:color w:val="auto"/>
                      <w:sz w:val="20"/>
                      <w:szCs w:val="20"/>
                      <w:highlight w:val="none"/>
                      <w:bdr w:val="single" w:color="000000" w:sz="4" w:space="0"/>
                      <w:lang w:bidi="ar"/>
                    </w:rPr>
                    <w:drawing>
                      <wp:anchor distT="0" distB="0" distL="114300" distR="114300" simplePos="0" relativeHeight="251734016" behindDoc="0" locked="0" layoutInCell="1" allowOverlap="1">
                        <wp:simplePos x="0" y="0"/>
                        <wp:positionH relativeFrom="column">
                          <wp:posOffset>0</wp:posOffset>
                        </wp:positionH>
                        <wp:positionV relativeFrom="paragraph">
                          <wp:posOffset>0</wp:posOffset>
                        </wp:positionV>
                        <wp:extent cx="304800" cy="304800"/>
                        <wp:effectExtent l="0" t="0" r="0" b="0"/>
                        <wp:wrapNone/>
                        <wp:docPr id="42" name="AutoShape_3_SpCnt_74"/>
                        <wp:cNvGraphicFramePr/>
                        <a:graphic xmlns:a="http://schemas.openxmlformats.org/drawingml/2006/main">
                          <a:graphicData uri="http://schemas.openxmlformats.org/drawingml/2006/picture">
                            <pic:pic xmlns:pic="http://schemas.openxmlformats.org/drawingml/2006/picture">
                              <pic:nvPicPr>
                                <pic:cNvPr id="42" name="AutoShape_3_SpCnt_74"/>
                                <pic:cNvPicPr/>
                              </pic:nvPicPr>
                              <pic:blipFill>
                                <a:blip r:embed="rId8"/>
                                <a:stretch>
                                  <a:fillRect/>
                                </a:stretch>
                              </pic:blipFill>
                              <pic:spPr>
                                <a:xfrm>
                                  <a:off x="0" y="0"/>
                                  <a:ext cx="304800" cy="304800"/>
                                </a:xfrm>
                                <a:prstGeom prst="rect">
                                  <a:avLst/>
                                </a:prstGeom>
                                <a:noFill/>
                                <a:ln>
                                  <a:noFill/>
                                </a:ln>
                              </pic:spPr>
                            </pic:pic>
                          </a:graphicData>
                        </a:graphic>
                      </wp:anchor>
                    </w:drawing>
                  </w:r>
                  <w:r>
                    <w:rPr>
                      <w:rFonts w:hint="eastAsia" w:ascii="宋体" w:hAnsi="宋体" w:cs="宋体"/>
                      <w:color w:val="auto"/>
                      <w:sz w:val="20"/>
                      <w:szCs w:val="20"/>
                      <w:highlight w:val="none"/>
                      <w:bdr w:val="single" w:color="000000" w:sz="4" w:space="0"/>
                      <w:lang w:bidi="ar"/>
                    </w:rPr>
                    <w:drawing>
                      <wp:anchor distT="0" distB="0" distL="114300" distR="114300" simplePos="0" relativeHeight="251735040" behindDoc="0" locked="0" layoutInCell="1" allowOverlap="1">
                        <wp:simplePos x="0" y="0"/>
                        <wp:positionH relativeFrom="column">
                          <wp:posOffset>0</wp:posOffset>
                        </wp:positionH>
                        <wp:positionV relativeFrom="paragraph">
                          <wp:posOffset>0</wp:posOffset>
                        </wp:positionV>
                        <wp:extent cx="304800" cy="304800"/>
                        <wp:effectExtent l="0" t="0" r="0" b="0"/>
                        <wp:wrapNone/>
                        <wp:docPr id="50" name="AutoShape_3_SpCnt_75"/>
                        <wp:cNvGraphicFramePr/>
                        <a:graphic xmlns:a="http://schemas.openxmlformats.org/drawingml/2006/main">
                          <a:graphicData uri="http://schemas.openxmlformats.org/drawingml/2006/picture">
                            <pic:pic xmlns:pic="http://schemas.openxmlformats.org/drawingml/2006/picture">
                              <pic:nvPicPr>
                                <pic:cNvPr id="50" name="AutoShape_3_SpCnt_75"/>
                                <pic:cNvPicPr/>
                              </pic:nvPicPr>
                              <pic:blipFill>
                                <a:blip r:embed="rId8"/>
                                <a:stretch>
                                  <a:fillRect/>
                                </a:stretch>
                              </pic:blipFill>
                              <pic:spPr>
                                <a:xfrm>
                                  <a:off x="0" y="0"/>
                                  <a:ext cx="304800" cy="304800"/>
                                </a:xfrm>
                                <a:prstGeom prst="rect">
                                  <a:avLst/>
                                </a:prstGeom>
                                <a:noFill/>
                                <a:ln>
                                  <a:noFill/>
                                </a:ln>
                              </pic:spPr>
                            </pic:pic>
                          </a:graphicData>
                        </a:graphic>
                      </wp:anchor>
                    </w:drawing>
                  </w:r>
                  <w:r>
                    <w:rPr>
                      <w:rFonts w:hint="eastAsia" w:ascii="宋体" w:hAnsi="宋体" w:cs="宋体"/>
                      <w:color w:val="auto"/>
                      <w:sz w:val="20"/>
                      <w:szCs w:val="20"/>
                      <w:highlight w:val="none"/>
                      <w:lang w:bidi="ar"/>
                    </w:rPr>
                    <w:t xml:space="preserve">0.00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bdr w:val="single" w:color="000000" w:sz="4" w:space="0"/>
                      <w:lang w:bidi="ar"/>
                    </w:rPr>
                    <w:drawing>
                      <wp:anchor distT="0" distB="0" distL="114300" distR="114300" simplePos="0" relativeHeight="251736064" behindDoc="0" locked="0" layoutInCell="1" allowOverlap="1">
                        <wp:simplePos x="0" y="0"/>
                        <wp:positionH relativeFrom="column">
                          <wp:posOffset>0</wp:posOffset>
                        </wp:positionH>
                        <wp:positionV relativeFrom="paragraph">
                          <wp:posOffset>0</wp:posOffset>
                        </wp:positionV>
                        <wp:extent cx="304800" cy="304800"/>
                        <wp:effectExtent l="0" t="0" r="0" b="0"/>
                        <wp:wrapNone/>
                        <wp:docPr id="51" name="AutoShape_3_SpCnt_76"/>
                        <wp:cNvGraphicFramePr/>
                        <a:graphic xmlns:a="http://schemas.openxmlformats.org/drawingml/2006/main">
                          <a:graphicData uri="http://schemas.openxmlformats.org/drawingml/2006/picture">
                            <pic:pic xmlns:pic="http://schemas.openxmlformats.org/drawingml/2006/picture">
                              <pic:nvPicPr>
                                <pic:cNvPr id="51" name="AutoShape_3_SpCnt_76"/>
                                <pic:cNvPicPr/>
                              </pic:nvPicPr>
                              <pic:blipFill>
                                <a:blip r:embed="rId8"/>
                                <a:stretch>
                                  <a:fillRect/>
                                </a:stretch>
                              </pic:blipFill>
                              <pic:spPr>
                                <a:xfrm>
                                  <a:off x="0" y="0"/>
                                  <a:ext cx="304800" cy="304800"/>
                                </a:xfrm>
                                <a:prstGeom prst="rect">
                                  <a:avLst/>
                                </a:prstGeom>
                                <a:noFill/>
                                <a:ln>
                                  <a:noFill/>
                                </a:ln>
                              </pic:spPr>
                            </pic:pic>
                          </a:graphicData>
                        </a:graphic>
                      </wp:anchor>
                    </w:drawing>
                  </w:r>
                  <w:r>
                    <w:rPr>
                      <w:rFonts w:hint="eastAsia" w:ascii="宋体" w:hAnsi="宋体" w:cs="宋体"/>
                      <w:color w:val="auto"/>
                      <w:sz w:val="20"/>
                      <w:szCs w:val="20"/>
                      <w:highlight w:val="none"/>
                      <w:bdr w:val="single" w:color="000000" w:sz="4" w:space="0"/>
                      <w:lang w:bidi="ar"/>
                    </w:rPr>
                    <w:drawing>
                      <wp:anchor distT="0" distB="0" distL="114300" distR="114300" simplePos="0" relativeHeight="251737088" behindDoc="0" locked="0" layoutInCell="1" allowOverlap="1">
                        <wp:simplePos x="0" y="0"/>
                        <wp:positionH relativeFrom="column">
                          <wp:posOffset>0</wp:posOffset>
                        </wp:positionH>
                        <wp:positionV relativeFrom="paragraph">
                          <wp:posOffset>0</wp:posOffset>
                        </wp:positionV>
                        <wp:extent cx="304800" cy="304800"/>
                        <wp:effectExtent l="0" t="0" r="0" b="0"/>
                        <wp:wrapNone/>
                        <wp:docPr id="52" name="AutoShape_3_SpCnt_77"/>
                        <wp:cNvGraphicFramePr/>
                        <a:graphic xmlns:a="http://schemas.openxmlformats.org/drawingml/2006/main">
                          <a:graphicData uri="http://schemas.openxmlformats.org/drawingml/2006/picture">
                            <pic:pic xmlns:pic="http://schemas.openxmlformats.org/drawingml/2006/picture">
                              <pic:nvPicPr>
                                <pic:cNvPr id="52" name="AutoShape_3_SpCnt_77"/>
                                <pic:cNvPicPr/>
                              </pic:nvPicPr>
                              <pic:blipFill>
                                <a:blip r:embed="rId8"/>
                                <a:stretch>
                                  <a:fillRect/>
                                </a:stretch>
                              </pic:blipFill>
                              <pic:spPr>
                                <a:xfrm>
                                  <a:off x="0" y="0"/>
                                  <a:ext cx="304800" cy="304800"/>
                                </a:xfrm>
                                <a:prstGeom prst="rect">
                                  <a:avLst/>
                                </a:prstGeom>
                                <a:noFill/>
                                <a:ln>
                                  <a:noFill/>
                                </a:ln>
                              </pic:spPr>
                            </pic:pic>
                          </a:graphicData>
                        </a:graphic>
                      </wp:anchor>
                    </w:drawing>
                  </w:r>
                  <w:r>
                    <w:rPr>
                      <w:rFonts w:hint="eastAsia" w:ascii="宋体" w:hAnsi="宋体" w:cs="宋体"/>
                      <w:color w:val="auto"/>
                      <w:sz w:val="20"/>
                      <w:szCs w:val="20"/>
                      <w:highlight w:val="none"/>
                      <w:bdr w:val="single" w:color="000000" w:sz="4" w:space="0"/>
                      <w:lang w:bidi="ar"/>
                    </w:rPr>
                    <w:drawing>
                      <wp:anchor distT="0" distB="0" distL="114300" distR="114300" simplePos="0" relativeHeight="251738112" behindDoc="0" locked="0" layoutInCell="1" allowOverlap="1">
                        <wp:simplePos x="0" y="0"/>
                        <wp:positionH relativeFrom="column">
                          <wp:posOffset>0</wp:posOffset>
                        </wp:positionH>
                        <wp:positionV relativeFrom="paragraph">
                          <wp:posOffset>0</wp:posOffset>
                        </wp:positionV>
                        <wp:extent cx="304800" cy="304800"/>
                        <wp:effectExtent l="0" t="0" r="0" b="0"/>
                        <wp:wrapNone/>
                        <wp:docPr id="55" name="AutoShape_3_SpCnt_78"/>
                        <wp:cNvGraphicFramePr/>
                        <a:graphic xmlns:a="http://schemas.openxmlformats.org/drawingml/2006/main">
                          <a:graphicData uri="http://schemas.openxmlformats.org/drawingml/2006/picture">
                            <pic:pic xmlns:pic="http://schemas.openxmlformats.org/drawingml/2006/picture">
                              <pic:nvPicPr>
                                <pic:cNvPr id="55" name="AutoShape_3_SpCnt_78"/>
                                <pic:cNvPicPr/>
                              </pic:nvPicPr>
                              <pic:blipFill>
                                <a:blip r:embed="rId8"/>
                                <a:stretch>
                                  <a:fillRect/>
                                </a:stretch>
                              </pic:blipFill>
                              <pic:spPr>
                                <a:xfrm>
                                  <a:off x="0" y="0"/>
                                  <a:ext cx="304800" cy="304800"/>
                                </a:xfrm>
                                <a:prstGeom prst="rect">
                                  <a:avLst/>
                                </a:prstGeom>
                                <a:noFill/>
                                <a:ln>
                                  <a:noFill/>
                                </a:ln>
                              </pic:spPr>
                            </pic:pic>
                          </a:graphicData>
                        </a:graphic>
                      </wp:anchor>
                    </w:drawing>
                  </w:r>
                </w:p>
              </w:tc>
            </w:tr>
            <w:tr>
              <w:tblPrEx>
                <w:tblCellMar>
                  <w:top w:w="0" w:type="dxa"/>
                  <w:left w:w="108" w:type="dxa"/>
                  <w:bottom w:w="0" w:type="dxa"/>
                  <w:right w:w="108" w:type="dxa"/>
                </w:tblCellMar>
              </w:tblPrEx>
              <w:trPr>
                <w:trHeight w:val="194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螺杆式风冷热泵（手术部四管制）</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1.名称：螺杆式风冷热泵（手术部四管制）</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2.规格：制冷量：512KW,用电功率：220KW,水流量：90m3/h</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3.隔振垫(器)、支架形式、材质：加厚型橡胶减震垫</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4.安装形式：落地安装 含设备基础</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5.电机检查接线、单体调试</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Cs w:val="21"/>
                      <w:highlight w:val="none"/>
                    </w:rPr>
                    <w:t>天加、雅士、清华同方</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bdr w:val="single" w:color="000000" w:sz="4" w:space="0"/>
                      <w:lang w:bidi="ar"/>
                    </w:rPr>
                    <w:drawing>
                      <wp:anchor distT="0" distB="0" distL="114300" distR="114300" simplePos="0" relativeHeight="251739136" behindDoc="0" locked="0" layoutInCell="1" allowOverlap="1">
                        <wp:simplePos x="0" y="0"/>
                        <wp:positionH relativeFrom="column">
                          <wp:posOffset>0</wp:posOffset>
                        </wp:positionH>
                        <wp:positionV relativeFrom="paragraph">
                          <wp:posOffset>0</wp:posOffset>
                        </wp:positionV>
                        <wp:extent cx="304800" cy="304800"/>
                        <wp:effectExtent l="0" t="0" r="0" b="0"/>
                        <wp:wrapNone/>
                        <wp:docPr id="61" name="AutoShape_3_SpCnt_79"/>
                        <wp:cNvGraphicFramePr/>
                        <a:graphic xmlns:a="http://schemas.openxmlformats.org/drawingml/2006/main">
                          <a:graphicData uri="http://schemas.openxmlformats.org/drawingml/2006/picture">
                            <pic:pic xmlns:pic="http://schemas.openxmlformats.org/drawingml/2006/picture">
                              <pic:nvPicPr>
                                <pic:cNvPr id="61" name="AutoShape_3_SpCnt_79"/>
                                <pic:cNvPicPr/>
                              </pic:nvPicPr>
                              <pic:blipFill>
                                <a:blip r:embed="rId8"/>
                                <a:stretch>
                                  <a:fillRect/>
                                </a:stretch>
                              </pic:blipFill>
                              <pic:spPr>
                                <a:xfrm>
                                  <a:off x="0" y="0"/>
                                  <a:ext cx="304800" cy="304800"/>
                                </a:xfrm>
                                <a:prstGeom prst="rect">
                                  <a:avLst/>
                                </a:prstGeom>
                                <a:noFill/>
                                <a:ln>
                                  <a:noFill/>
                                </a:ln>
                              </pic:spPr>
                            </pic:pic>
                          </a:graphicData>
                        </a:graphic>
                      </wp:anchor>
                    </w:drawing>
                  </w:r>
                  <w:r>
                    <w:rPr>
                      <w:rFonts w:hint="eastAsia" w:ascii="宋体" w:hAnsi="宋体" w:cs="宋体"/>
                      <w:color w:val="auto"/>
                      <w:sz w:val="20"/>
                      <w:szCs w:val="20"/>
                      <w:highlight w:val="none"/>
                      <w:lang w:bidi="ar"/>
                    </w:rPr>
                    <w:t xml:space="preserve">2.00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bdr w:val="single" w:color="000000" w:sz="4" w:space="0"/>
                      <w:lang w:bidi="ar"/>
                    </w:rPr>
                    <w:drawing>
                      <wp:anchor distT="0" distB="0" distL="114300" distR="114300" simplePos="0" relativeHeight="251740160" behindDoc="0" locked="0" layoutInCell="1" allowOverlap="1">
                        <wp:simplePos x="0" y="0"/>
                        <wp:positionH relativeFrom="column">
                          <wp:posOffset>0</wp:posOffset>
                        </wp:positionH>
                        <wp:positionV relativeFrom="paragraph">
                          <wp:posOffset>0</wp:posOffset>
                        </wp:positionV>
                        <wp:extent cx="304800" cy="304800"/>
                        <wp:effectExtent l="0" t="0" r="0" b="0"/>
                        <wp:wrapNone/>
                        <wp:docPr id="63" name="AutoShape_3_SpCnt_80"/>
                        <wp:cNvGraphicFramePr/>
                        <a:graphic xmlns:a="http://schemas.openxmlformats.org/drawingml/2006/main">
                          <a:graphicData uri="http://schemas.openxmlformats.org/drawingml/2006/picture">
                            <pic:pic xmlns:pic="http://schemas.openxmlformats.org/drawingml/2006/picture">
                              <pic:nvPicPr>
                                <pic:cNvPr id="63" name="AutoShape_3_SpCnt_80"/>
                                <pic:cNvPicPr/>
                              </pic:nvPicPr>
                              <pic:blipFill>
                                <a:blip r:embed="rId8"/>
                                <a:stretch>
                                  <a:fillRect/>
                                </a:stretch>
                              </pic:blipFill>
                              <pic:spPr>
                                <a:xfrm>
                                  <a:off x="0" y="0"/>
                                  <a:ext cx="304800" cy="304800"/>
                                </a:xfrm>
                                <a:prstGeom prst="rect">
                                  <a:avLst/>
                                </a:prstGeom>
                                <a:noFill/>
                                <a:ln>
                                  <a:noFill/>
                                </a:ln>
                              </pic:spPr>
                            </pic:pic>
                          </a:graphicData>
                        </a:graphic>
                      </wp:anchor>
                    </w:drawing>
                  </w:r>
                </w:p>
              </w:tc>
            </w:tr>
            <w:tr>
              <w:tblPrEx>
                <w:tblCellMar>
                  <w:top w:w="0" w:type="dxa"/>
                  <w:left w:w="108" w:type="dxa"/>
                  <w:bottom w:w="0" w:type="dxa"/>
                  <w:right w:w="108" w:type="dxa"/>
                </w:tblCellMar>
              </w:tblPrEx>
              <w:trPr>
                <w:trHeight w:val="194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涡旋式风冷热泵（四管制）</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1.名称：涡旋式风冷热泵（四管制）</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2.规格：制冷量：130KW,用电功率：43KW,水流量：22m3/h</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3.隔振垫(器)、支架形式、材质：加厚型橡胶减震垫</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4.安装形式：落地安装 含设备基础</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5.电机检查接线、单体调试</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Cs w:val="21"/>
                      <w:highlight w:val="none"/>
                    </w:rPr>
                    <w:t>天加、雅士、清华同方</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bdr w:val="single" w:color="000000" w:sz="4" w:space="0"/>
                      <w:lang w:bidi="ar"/>
                    </w:rPr>
                    <w:drawing>
                      <wp:anchor distT="0" distB="0" distL="114300" distR="114300" simplePos="0" relativeHeight="251741184" behindDoc="0" locked="0" layoutInCell="1" allowOverlap="1">
                        <wp:simplePos x="0" y="0"/>
                        <wp:positionH relativeFrom="column">
                          <wp:posOffset>0</wp:posOffset>
                        </wp:positionH>
                        <wp:positionV relativeFrom="paragraph">
                          <wp:posOffset>0</wp:posOffset>
                        </wp:positionV>
                        <wp:extent cx="304800" cy="304800"/>
                        <wp:effectExtent l="0" t="0" r="0" b="0"/>
                        <wp:wrapNone/>
                        <wp:docPr id="62" name="AutoShape_3_SpCnt_81"/>
                        <wp:cNvGraphicFramePr/>
                        <a:graphic xmlns:a="http://schemas.openxmlformats.org/drawingml/2006/main">
                          <a:graphicData uri="http://schemas.openxmlformats.org/drawingml/2006/picture">
                            <pic:pic xmlns:pic="http://schemas.openxmlformats.org/drawingml/2006/picture">
                              <pic:nvPicPr>
                                <pic:cNvPr id="62" name="AutoShape_3_SpCnt_81"/>
                                <pic:cNvPicPr/>
                              </pic:nvPicPr>
                              <pic:blipFill>
                                <a:blip r:embed="rId8"/>
                                <a:stretch>
                                  <a:fillRect/>
                                </a:stretch>
                              </pic:blipFill>
                              <pic:spPr>
                                <a:xfrm>
                                  <a:off x="0" y="0"/>
                                  <a:ext cx="304800" cy="304800"/>
                                </a:xfrm>
                                <a:prstGeom prst="rect">
                                  <a:avLst/>
                                </a:prstGeom>
                                <a:noFill/>
                                <a:ln>
                                  <a:noFill/>
                                </a:ln>
                              </pic:spPr>
                            </pic:pic>
                          </a:graphicData>
                        </a:graphic>
                      </wp:anchor>
                    </w:drawing>
                  </w:r>
                  <w:r>
                    <w:rPr>
                      <w:rFonts w:hint="eastAsia" w:ascii="宋体" w:hAnsi="宋体" w:cs="宋体"/>
                      <w:color w:val="auto"/>
                      <w:sz w:val="20"/>
                      <w:szCs w:val="20"/>
                      <w:highlight w:val="none"/>
                      <w:lang w:bidi="ar"/>
                    </w:rPr>
                    <w:t xml:space="preserve">11.00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bdr w:val="single" w:color="000000" w:sz="4" w:space="0"/>
                      <w:lang w:bidi="ar"/>
                    </w:rPr>
                    <w:drawing>
                      <wp:anchor distT="0" distB="0" distL="114300" distR="114300" simplePos="0" relativeHeight="251742208" behindDoc="0" locked="0" layoutInCell="1" allowOverlap="1">
                        <wp:simplePos x="0" y="0"/>
                        <wp:positionH relativeFrom="column">
                          <wp:posOffset>0</wp:posOffset>
                        </wp:positionH>
                        <wp:positionV relativeFrom="paragraph">
                          <wp:posOffset>0</wp:posOffset>
                        </wp:positionV>
                        <wp:extent cx="304800" cy="304800"/>
                        <wp:effectExtent l="0" t="0" r="0" b="0"/>
                        <wp:wrapNone/>
                        <wp:docPr id="64" name="AutoShape_3_SpCnt_82"/>
                        <wp:cNvGraphicFramePr/>
                        <a:graphic xmlns:a="http://schemas.openxmlformats.org/drawingml/2006/main">
                          <a:graphicData uri="http://schemas.openxmlformats.org/drawingml/2006/picture">
                            <pic:pic xmlns:pic="http://schemas.openxmlformats.org/drawingml/2006/picture">
                              <pic:nvPicPr>
                                <pic:cNvPr id="64" name="AutoShape_3_SpCnt_82"/>
                                <pic:cNvPicPr/>
                              </pic:nvPicPr>
                              <pic:blipFill>
                                <a:blip r:embed="rId8"/>
                                <a:stretch>
                                  <a:fillRect/>
                                </a:stretch>
                              </pic:blipFill>
                              <pic:spPr>
                                <a:xfrm>
                                  <a:off x="0" y="0"/>
                                  <a:ext cx="304800" cy="304800"/>
                                </a:xfrm>
                                <a:prstGeom prst="rect">
                                  <a:avLst/>
                                </a:prstGeom>
                                <a:noFill/>
                                <a:ln>
                                  <a:noFill/>
                                </a:ln>
                              </pic:spPr>
                            </pic:pic>
                          </a:graphicData>
                        </a:graphic>
                      </wp:anchor>
                    </w:drawing>
                  </w:r>
                </w:p>
              </w:tc>
            </w:tr>
            <w:tr>
              <w:tblPrEx>
                <w:tblCellMar>
                  <w:top w:w="0" w:type="dxa"/>
                  <w:left w:w="108" w:type="dxa"/>
                  <w:bottom w:w="0" w:type="dxa"/>
                  <w:right w:w="108" w:type="dxa"/>
                </w:tblCellMar>
              </w:tblPrEx>
              <w:trPr>
                <w:trHeight w:val="180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3</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水泵（手术部冷水泵）</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1.名称：水泵</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2.规格：水泵扬程：28m,水泵流量：100m3/h，水泵功率：15KW</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3.隔振垫(器)、支架形式、材质：加厚型橡胶减震垫</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4.安装形式：落地安装 含设备基础</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5.电机检查接线、单体调试</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上海连成、凯泉、格兰富</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3.00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80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4</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水泵（手术部热水泵）</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1.名称：水泵</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2.规格：水泵扬程：28m,水泵流量：60m3/h，水泵功率：11KW</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3.隔振垫(器)、支架形式、材质：加厚型橡胶减震垫</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4.安装形式：落地安装 含设备基础</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5.电机检查接线、单体调试</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上海连成、凯泉、格兰富</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3.00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80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5</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水泵（妇科楼、病理科冷水泵)</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1.名称：水泵</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2.规格：水泵扬程：38m,水泵流量：100m3/h，水泵功率：22KW</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3.隔振垫(器)、支架形式、材质：加厚型橡胶减震垫</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4.安装形式：落地安装 含设备基础</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5.电机检查接线、单体调试</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上海连成、凯泉、格兰富</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3.00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80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6</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水泵（妇科楼、病理科热水泵)</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1.名称：水泵</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2.规格：水泵扬程：38m,水泵流量：60m3/h，水泵功率：15KW</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3.隔振垫(器)、支架形式、材质：加厚型橡胶减震垫</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4.安装形式：落地安装 含设备基础</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5.电机检查接线、单体调试</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上海连成、凯泉、格兰富</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3.00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80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7</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水泵（儿科楼 冷水泵）</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1.名称：水泵</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2.规格：水泵扬程：32m,水泵流量：80m3/h，水泵功率：15KW</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3.隔振垫(器)、支架形式、材质：加厚型橡胶减震垫</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4.安装形式：落地安装 含设备基础</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5.电机检查接线、单体调试</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上海连成、凯泉、格兰富</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80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8</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水泵（儿科楼 热水泵）</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1.名称：水泵</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2.规格：水泵扬程：32m,水泵流量：50m3/h，水泵功率：11KW</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3.隔振垫(器)、支架形式、材质：加厚型橡胶减震垫</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4.安装形式：落地安装 含设备基础</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5.电机检查接线、单体调试</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上海连成、凯泉、格兰富</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20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9</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散热水箱</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1.名称：散热水箱</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2.规格：480*320*300</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3.安装形式：槽钢基础，手工除锈及2遍防锈漆，银粉漆</w:t>
                  </w:r>
                </w:p>
              </w:tc>
              <w:tc>
                <w:tcPr>
                  <w:tcW w:w="1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套</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15.00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62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10</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膨胀水箱</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1.名称：膨胀水箱</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2.规格：1m3</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3.安装形式：槽钢基础，手工除锈及2遍防锈漆，银粉漆                                            4.包括水箱盖板、通气管、膨胀管、信号管、排污管等，其余按设计及规范要求</w:t>
                  </w:r>
                </w:p>
              </w:tc>
              <w:tc>
                <w:tcPr>
                  <w:tcW w:w="1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套</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6.00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44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11</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冷却水箱</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1.名称：冷却水箱</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2.规格：600*600*600</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3.安装形式：槽钢基础，手工除锈及2遍防锈漆，银粉漆                      4.包括温度传感器、挡板等设计图内的一切内容</w:t>
                  </w:r>
                </w:p>
              </w:tc>
              <w:tc>
                <w:tcPr>
                  <w:tcW w:w="1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套</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3.00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855"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12</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压力表（带旋塞）</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1.名称：压力表</w:t>
                  </w:r>
                </w:p>
              </w:tc>
              <w:tc>
                <w:tcPr>
                  <w:tcW w:w="1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套</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195.00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855"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13</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温度计</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1.名称：温度计</w:t>
                  </w:r>
                </w:p>
              </w:tc>
              <w:tc>
                <w:tcPr>
                  <w:tcW w:w="1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套</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174.00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855"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14</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铜球阀</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1.名称：铜球阀</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2.规格：DN20</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良工、精工、上阀</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92.00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855"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15</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铜球阀</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1.名称：铜球阀</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2.规格：DN25</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良工、精工、上阀</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855"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16</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电动二通阀</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1.名称：电动二通阀</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2.规格：DN20</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霍尼韦尔、西门子、江森</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45.00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855"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17</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电动三通阀</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1.名称：电动三通阀</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2.规格：DN25</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霍尼韦尔、西门子、江森</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4.00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855"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18</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电动三通阀</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1.名称：电动三通阀</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2.规格：DN32</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霍尼韦尔、西门子、江森</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23.00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855"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19</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电动三通阀</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1.名称：电动三通阀</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2.规格：DN40</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霍尼韦尔、西门子、江森</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12.00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855"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20</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电动三通阀</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1.名称：电动三通阀</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2.规格：DN50</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霍尼韦尔、西门子、江森</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8.00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855"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21</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电动三通阀</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1.名称：电动三通阀</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2.规格：DN65</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霍尼韦尔、西门子、江森</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11.00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855"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22</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电动三通阀</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1.名称：电动三通阀</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2.规格：DN80</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霍尼韦尔、西门子、江森</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6.00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855"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23</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电动三通阀</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1.名称：电动三通阀</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2.规格：DN100</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霍尼韦尔、西门子、江森</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855"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24</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电动三通阀</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1.名称：电动三通阀</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2.规格：DN125</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霍尼韦尔、西门子、江森</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855"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25</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铜制Y型过滤器</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1.名称：铜制Y型过滤器</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2.规格：DN15</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良工、精工、上阀</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855"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26</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铜制Y型过滤器</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1.名称：铜制Y型过滤器</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2.规格：DN20</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良工、精工、上阀</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49.00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855"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27</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铜制Y型过滤器</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1.名称：铜制Y型过滤器</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2.规格：DN25</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良工、精工、上阀</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4.00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855"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28</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铜制Y型过滤器</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1.名称：铜制Y型过滤器</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2.规格：DN32</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良工、精工、上阀</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23.00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855"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29</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铜制Y型过滤器</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1.名称：铜制Y型过滤器</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2.规格：DN40</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良工、精工、上阀</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12.00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855"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30</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铜制Y型过滤器</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1.名称：铜制Y型过滤器</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2.规格：DN50</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良工、精工、上阀</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8.00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855"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31</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铜制Y型过滤器</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1.名称：铜制Y型过滤器</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2.规格：DN65</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良工、精工、上阀</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16.00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855"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32</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铸铁Y型过滤器</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1.名称：铸铁Y型过滤器</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2.规格：DN80</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良工、精工、上阀</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15.00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855"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33</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铸铁Y型过滤器</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1.名称：铸铁Y型过滤器</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2.规格：DN100</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良工、精工、上阀</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855"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34</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铸铁Y型过滤器</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1.名称：铸铁Y型过滤器</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2.规格：DN125</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良工、精工、上阀</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8.00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855"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35</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铸铁Y型过滤器</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1.名称：铸铁Y型过滤器</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2.规格：DN150</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良工、精工、上阀</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15.00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855"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36</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带编网不锈钢波纹软接</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1.名称：带编网不锈钢波纹软接</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2.规格：DN20</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良工、精工、上阀</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116.00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855"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37</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带编网不锈钢波纹软接</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1.名称：带编网不锈钢波纹软接</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2.规格：DN25</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良工、精工、上阀</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8.00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855"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38</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带编网不锈钢波纹软接</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1.名称：带编网不锈钢波纹软接</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2.规格：DN32</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良工、精工、上阀</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81.00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855"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39</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带编网不锈钢波纹软接</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1.名称：带编网不锈钢波纹软接</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2.规格：DN40</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良工、精工、上阀</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27.00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855"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40</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带编网不锈钢波纹软接</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1.名称：带编网不锈钢波纹软接</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2.规格：DN50</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良工、精工、上阀</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16.00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855"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41</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带编网不锈钢波纹软接</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1.名称：带编网不锈钢波纹软接</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2.规格：DN65</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良工、精工、上阀</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32.00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855"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42</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法兰橡胶软接头</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1.名称：法兰橡胶软接头</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2.规格：DN80</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良工、精工、上阀</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30.00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855"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43</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法兰橡胶软接头</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1.名称：法兰橡胶软接头</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2.规格：DN100</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良工、精工、上阀</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855"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44</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法兰橡胶软接头</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1.名称：法兰橡胶软接头</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2.规格：DN125</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良工、精工、上阀</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16.00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855"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45</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法兰橡胶软接头</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1.名称：法兰橡胶软接头</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2.规格：DN150</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良工、精工、上阀</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32.00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855"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46</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自动排气阀</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1.名称：自动排气阀</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2.规格：DN20</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良工、精工、上阀</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16.00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855"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47</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手动放气阀</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1.名称：手动放气阀</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2.规格：DN20</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良工、精工、上阀</w:t>
                  </w:r>
                </w:p>
              </w:tc>
              <w:tc>
                <w:tcPr>
                  <w:tcW w:w="6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60.00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855"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48</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排气阀</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1.名称：排气阀</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2.规格：DN32</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良工、精工、上阀</w:t>
                  </w:r>
                </w:p>
              </w:tc>
              <w:tc>
                <w:tcPr>
                  <w:tcW w:w="6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6.00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855"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49</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排污阀</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1.名称：排污阀</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2.规格：DN25</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良工、精工、上阀</w:t>
                  </w:r>
                </w:p>
              </w:tc>
              <w:tc>
                <w:tcPr>
                  <w:tcW w:w="6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98.00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855"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50</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排污阀</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1.名称：排污阀</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2.规格：DN32</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良工、精工、上阀</w:t>
                  </w:r>
                </w:p>
              </w:tc>
              <w:tc>
                <w:tcPr>
                  <w:tcW w:w="6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7.00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855"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51</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浮球阀</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1.名称：浮球阀</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2.规格：DN25</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良工、精工、上阀</w:t>
                  </w:r>
                </w:p>
              </w:tc>
              <w:tc>
                <w:tcPr>
                  <w:tcW w:w="6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6.00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855"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52</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蝶阀</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1.名称：蝶阀</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2.规格：DN150</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良工、精工、上阀</w:t>
                  </w:r>
                </w:p>
              </w:tc>
              <w:tc>
                <w:tcPr>
                  <w:tcW w:w="6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33.00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855"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53</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蝶阀</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1.名称：蝶阀</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2.规格：DN125</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良工、精工、上阀</w:t>
                  </w:r>
                </w:p>
              </w:tc>
              <w:tc>
                <w:tcPr>
                  <w:tcW w:w="6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17.00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855"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54</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蝶阀</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1.名称：蝶阀</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2.规格：DN80</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良工、精工、上阀</w:t>
                  </w:r>
                </w:p>
              </w:tc>
              <w:tc>
                <w:tcPr>
                  <w:tcW w:w="6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18.00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855"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55</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蝶阀</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1.名称：蝶阀</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2.规格：DN65</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良工、精工、上阀</w:t>
                  </w:r>
                </w:p>
              </w:tc>
              <w:tc>
                <w:tcPr>
                  <w:tcW w:w="6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18.00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855"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56</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闸阀</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1.名称：闸阀</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2.规格：DN15</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良工、精工、上阀</w:t>
                  </w:r>
                </w:p>
              </w:tc>
              <w:tc>
                <w:tcPr>
                  <w:tcW w:w="6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855"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57</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闸阀</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1.名称：闸阀</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2.规格：DN20</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良工、精工、上阀</w:t>
                  </w:r>
                </w:p>
              </w:tc>
              <w:tc>
                <w:tcPr>
                  <w:tcW w:w="6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42.00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855"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58</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闸阀</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1.名称：闸阀</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2.规格：DN25</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良工、精工、上阀</w:t>
                  </w:r>
                </w:p>
              </w:tc>
              <w:tc>
                <w:tcPr>
                  <w:tcW w:w="6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26.00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855"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59</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闸阀</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1.名称：闸阀</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2.规格：DN32</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良工、精工、上阀</w:t>
                  </w:r>
                </w:p>
              </w:tc>
              <w:tc>
                <w:tcPr>
                  <w:tcW w:w="6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144.00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855"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60</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闸阀</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1.名称：闸阀</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2.规格：DN40</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良工、精工、上阀</w:t>
                  </w:r>
                </w:p>
              </w:tc>
              <w:tc>
                <w:tcPr>
                  <w:tcW w:w="6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86.00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855"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61</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闸阀</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1.名称：闸阀</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2.规格：DN50</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良工、精工、上阀</w:t>
                  </w:r>
                </w:p>
              </w:tc>
              <w:tc>
                <w:tcPr>
                  <w:tcW w:w="6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48.00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855"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62</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闸阀</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1.名称：闸阀</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2.规格：DN65</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良工、精工、上阀</w:t>
                  </w:r>
                </w:p>
              </w:tc>
              <w:tc>
                <w:tcPr>
                  <w:tcW w:w="6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69.00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855"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63</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闸阀</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1.名称：闸阀</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2.规格：DN80</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良工、精工、上阀</w:t>
                  </w:r>
                </w:p>
              </w:tc>
              <w:tc>
                <w:tcPr>
                  <w:tcW w:w="6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53.00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855"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64</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闸阀</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1.名称：闸阀</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2.规格：DN100</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良工、精工、上阀</w:t>
                  </w:r>
                </w:p>
              </w:tc>
              <w:tc>
                <w:tcPr>
                  <w:tcW w:w="6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16.00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855"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65</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闸阀</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1.名称：闸阀</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2.规格：DN125</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良工、精工、上阀</w:t>
                  </w:r>
                </w:p>
              </w:tc>
              <w:tc>
                <w:tcPr>
                  <w:tcW w:w="6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14.00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855"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66</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闸阀</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1.名称：闸阀</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2.规格：DN150</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良工、精工、上阀</w:t>
                  </w:r>
                </w:p>
              </w:tc>
              <w:tc>
                <w:tcPr>
                  <w:tcW w:w="6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6.00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855"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67</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闸阀</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1.名称：闸阀</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2.规格：DN200</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良工、精工、上阀</w:t>
                  </w:r>
                </w:p>
              </w:tc>
              <w:tc>
                <w:tcPr>
                  <w:tcW w:w="6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66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68</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电子除垢仪</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1.名称：电子除垢仪</w:t>
                  </w:r>
                </w:p>
              </w:tc>
              <w:tc>
                <w:tcPr>
                  <w:tcW w:w="1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3.00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66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69</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压差旁通阀组</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1.名称：压差旁通阀组</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2.规格：DN80</w:t>
                  </w:r>
                </w:p>
              </w:tc>
              <w:tc>
                <w:tcPr>
                  <w:tcW w:w="1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66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70</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压差旁通阀组</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1.名称：压差旁通阀组</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2.规格：DN125</w:t>
                  </w:r>
                </w:p>
              </w:tc>
              <w:tc>
                <w:tcPr>
                  <w:tcW w:w="1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66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71</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压差旁通阀组</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1.名称：压差旁通阀组</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2.规格：DN150</w:t>
                  </w:r>
                </w:p>
              </w:tc>
              <w:tc>
                <w:tcPr>
                  <w:tcW w:w="1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66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72</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压差旁通阀组</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1.名称：压差旁通阀组</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2.规格：DN200</w:t>
                  </w:r>
                </w:p>
              </w:tc>
              <w:tc>
                <w:tcPr>
                  <w:tcW w:w="1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48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73</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止回阀</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1.名称：止回阀</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2.规格：DN125</w:t>
                  </w:r>
                </w:p>
              </w:tc>
              <w:tc>
                <w:tcPr>
                  <w:tcW w:w="1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5.00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48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74</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止回阀</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1.名称：止回阀</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2.规格：DN150</w:t>
                  </w:r>
                </w:p>
              </w:tc>
              <w:tc>
                <w:tcPr>
                  <w:tcW w:w="1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6.00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48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75</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平衡阀</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1.名称：平衡阀</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2.规格：DN32</w:t>
                  </w:r>
                </w:p>
              </w:tc>
              <w:tc>
                <w:tcPr>
                  <w:tcW w:w="1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48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76</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平衡阀</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1.名称：平衡阀</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2.规格：DN40</w:t>
                  </w:r>
                </w:p>
              </w:tc>
              <w:tc>
                <w:tcPr>
                  <w:tcW w:w="1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4.00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48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77</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平衡阀</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1.名称：平衡阀</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2.规格：DN65</w:t>
                  </w:r>
                </w:p>
              </w:tc>
              <w:tc>
                <w:tcPr>
                  <w:tcW w:w="1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48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78</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平衡阀</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1.名称：平衡阀</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2.规格：DN80</w:t>
                  </w:r>
                </w:p>
              </w:tc>
              <w:tc>
                <w:tcPr>
                  <w:tcW w:w="1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5.00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48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79</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平衡阀</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1.名称：平衡阀</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2.规格：DN100</w:t>
                  </w:r>
                </w:p>
              </w:tc>
              <w:tc>
                <w:tcPr>
                  <w:tcW w:w="1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48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80</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平衡阀</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1.名称：平衡阀</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2.规格：DN125</w:t>
                  </w:r>
                </w:p>
              </w:tc>
              <w:tc>
                <w:tcPr>
                  <w:tcW w:w="1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7.00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48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81</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平衡阀</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1.名称：平衡阀</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2.规格：DN150</w:t>
                  </w:r>
                </w:p>
              </w:tc>
              <w:tc>
                <w:tcPr>
                  <w:tcW w:w="1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218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82</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镀锌钢管</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1.安装部位：室内</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2.介质：空调加湿水</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3.规格、压力等级：DN15，水管承受压力≤0.8MPa</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4.连接形式：螺纹连接</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5.压力试验及吹、洗设计要求：水压试验、水冲洗   6.包括水管穿墙套管，热浸锌吊支架（预埋吊座）、间接排水口、P型存水弯、软接、膨胀节等，其余按设计及规范要求</w:t>
                  </w:r>
                </w:p>
              </w:tc>
              <w:tc>
                <w:tcPr>
                  <w:tcW w:w="1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m</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14.14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218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83</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镀锌钢管</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1.安装部位：室内</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2.介质：空调加湿水</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3.规格、压力等级：DN20，水管承受压力≤0.8MPa</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4.连接形式：螺纹连接</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5.压力试验及吹、洗设计要求：水压试验、水冲洗   6.包括水管穿墙套管，热浸锌吊支架（预埋吊座）、间接排水口、P型存水弯、软接、膨胀节等，其余按设计及规范要求</w:t>
                  </w:r>
                </w:p>
              </w:tc>
              <w:tc>
                <w:tcPr>
                  <w:tcW w:w="1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m</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172.61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218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84</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镀锌钢管</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1.安装部位：室内</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2.介质：空调加湿水</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3.规格、压力等级：DN25，水管承受压力≤0.8MPa</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4.连接形式：螺纹连接</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5.压力试验及吹、洗设计要求：水压试验、水冲洗   6.包括水管穿墙套管，热浸锌吊支架（预埋吊座）、间接排水口、P型存水弯、软接、膨胀节等，其余按设计及规范要求</w:t>
                  </w:r>
                </w:p>
              </w:tc>
              <w:tc>
                <w:tcPr>
                  <w:tcW w:w="1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m</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115.28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218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85</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镀锌钢管</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1.安装部位：室内</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2.介质：空调冷凝水</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3.规格、压力等级：DN20，水管承受压力≤0.8MPa</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4.连接形式：螺纹连接</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5.压力试验及吹、洗设计要求：水压试验、水冲洗   6.包括水管穿墙套管，热浸锌吊支架（预埋吊座）、间接排水口、P型存水弯、软接、膨胀节等，其余按设计及规范要求</w:t>
                  </w:r>
                </w:p>
              </w:tc>
              <w:tc>
                <w:tcPr>
                  <w:tcW w:w="1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m</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1.50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218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86</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镀锌钢管</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1.安装部位：室内</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2.介质：空调冷凝水</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3.规格、压力等级：DN25，水管承受压力≤0.8MPa</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4.连接形式：螺纹连接</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5.压力试验及吹、洗设计要求：水压试验、水冲洗  6.包括水管穿墙套管，热浸锌吊支架（预埋吊座）、间接排水口、P型存水弯、软接、膨胀节等，其余按设计及规范要求</w:t>
                  </w:r>
                </w:p>
              </w:tc>
              <w:tc>
                <w:tcPr>
                  <w:tcW w:w="1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m</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113.33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218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87</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镀锌钢管</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1.安装部位：室内</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2.介质：空调冷凝水</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3.规格、压力等级：DN32，水管承受压力≤0.8MPa</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4.连接形式：螺纹连接</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5.压力试验及吹、洗设计要求：水压试验、水冲洗  6.包括水管穿墙套管，热浸锌吊支架（预埋吊座）、间接排水口、P型存水弯、软接、膨胀节等，其余按设计及规范要求</w:t>
                  </w:r>
                </w:p>
              </w:tc>
              <w:tc>
                <w:tcPr>
                  <w:tcW w:w="1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m</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283.88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218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88</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镀锌钢管</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1.安装部位：室内</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2.介质：空调冷凝水</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3.规格、压力等级：DN40，水管承受压力≤0.8MPa</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4.连接形式：螺纹连接</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5.压力试验及吹、洗设计要求：水压试验、水冲洗  6.包括水管穿墙套管，热浸锌吊支架（预埋吊座）、间接排水口、P型存水弯、软接、膨胀节等，其余按设计及规范要求</w:t>
                  </w:r>
                </w:p>
              </w:tc>
              <w:tc>
                <w:tcPr>
                  <w:tcW w:w="1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m</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56.09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218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89</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镀锌钢管</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1.安装部位：室内</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2.介质：空调冷凝水</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3.规格、压力等级：DN50，水管承受压力≤0.8MPa</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4.连接形式：螺纹连接</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5.压力试验及吹、洗设计要求：水压试验、水冲洗  6.包括水管穿墙套管，热浸锌吊支架（预埋吊座）、间接排水口、P型存水弯、软接、膨胀节等，其余按设计及规范要求</w:t>
                  </w:r>
                </w:p>
              </w:tc>
              <w:tc>
                <w:tcPr>
                  <w:tcW w:w="1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m</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10.22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218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90</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镀锌钢管</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1.安装部位：室内</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2.介质：空调冷、热水</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3.规格、压力等级：DN20，水管承受压力≤0.8MPa</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4.连接形式：螺纹连接</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5.压力试验及吹、洗设计要求：水压试验、水冲洗   6.包括水管穿墙套管，热浸锌吊支架（预埋吊座）及其除锈刷油防腐、膨胀节等，其余按设计及规范要求</w:t>
                  </w:r>
                </w:p>
              </w:tc>
              <w:tc>
                <w:tcPr>
                  <w:tcW w:w="1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m</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237.76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218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91</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镀锌钢管</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1.安装部位：室内</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2.介质：空调冷、热水</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3.规格、压力等级：DN25，水管承受压力≤0.8MPa</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4.连接形式：螺纹连接</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5.压力试验及吹、洗设计要求：水压试验、水冲洗  6.包括水管穿墙套管，热浸锌吊支架（预埋吊座）及其除锈刷油防腐、膨胀节等，其余按设计及规范要求</w:t>
                  </w:r>
                </w:p>
              </w:tc>
              <w:tc>
                <w:tcPr>
                  <w:tcW w:w="1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m</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40.85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218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92</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镀锌钢管</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1.安装部位：室内</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2.介质：空调冷、热水</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3.规格、压力等级：DN32，水管承受压力≤0.8MPa</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4.连接形式：螺纹连接</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5.压力试验及吹、洗设计要求：水压试验、水冲洗  6.包括水管穿墙套管，热浸锌吊支架（预埋吊座）及其除锈刷油防腐、膨胀节等，其余按设计及规范要求</w:t>
                  </w:r>
                </w:p>
              </w:tc>
              <w:tc>
                <w:tcPr>
                  <w:tcW w:w="1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m</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328.36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218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93</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镀锌钢管</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1.安装部位：室内</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2.介质：空调冷、热水</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3.规格、压力等级：DN40，水管承受压力≤0.8MPa</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 xml:space="preserve">4.连接形式：螺纹连接 </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5.压力试验及吹、洗设计要求：水压试验、水冲洗  6.包括水管穿墙套管，热浸锌吊支架（预埋吊座）及其除锈刷油防腐、膨胀节等，其余按设计及规范要求</w:t>
                  </w:r>
                </w:p>
              </w:tc>
              <w:tc>
                <w:tcPr>
                  <w:tcW w:w="1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m</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276.95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218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94</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镀锌钢管</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1.安装部位：室内</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2.介质：空调冷、热水</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3.规格、压力等级：DN50，水管承受压力≤0.8MPa</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4.连接形式：螺纹连接</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5.压力试验及吹、洗设计要求：水压试验、水冲洗  6.包括水管穿墙套管，热浸锌吊支架（预埋吊座）及其除锈刷油防腐、膨胀节等，其余按设计及规范要求</w:t>
                  </w:r>
                </w:p>
              </w:tc>
              <w:tc>
                <w:tcPr>
                  <w:tcW w:w="1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m</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240.85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218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95</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镀锌钢管</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1.安装部位：室内</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2.介质：空调冷、热水</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3.规格、压力等级：DN65，水管承受压力＞0.8MPa</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4.连接形式:螺纹连接</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5.压力试验及吹、洗设计要求：水压试验、水冲洗  6.包括水管穿墙套管，热浸锌吊支架（预埋吊座）及其除锈刷油防腐、膨胀节等，其余按设计及规范要求</w:t>
                  </w:r>
                </w:p>
              </w:tc>
              <w:tc>
                <w:tcPr>
                  <w:tcW w:w="1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m</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444.50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218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96</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无缝钢管</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1.安装部位：室内</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2.介质：空调冷、热水</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3.规格、压力等级：DN80，水管承受压力＞0.8MPa</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4.连接形式：焊接</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5.压力试验及吹、洗设计要求：水压试验、水冲洗   6.包括水管穿墙套管，热浸锌吊支架支架（预埋吊座）、除锈刷油防腐、管道及膨胀节等，其余按设计及规范要求</w:t>
                  </w:r>
                </w:p>
              </w:tc>
              <w:tc>
                <w:tcPr>
                  <w:tcW w:w="1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m</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471.94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218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97</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无缝钢管</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1.安装部位：室内</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2.介质：空调冷、热水</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3.规格、压力等级：DN100，水管承受压力＞0.8MPa</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4.连接形式：焊接</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5.压力试验及吹、洗设计要求：水压试验、水冲洗  6.包括水管穿墙套管，热浸锌吊支架（预埋吊座）、除锈刷油防腐、管道及膨胀节等，其余按设计及规范要求</w:t>
                  </w:r>
                </w:p>
              </w:tc>
              <w:tc>
                <w:tcPr>
                  <w:tcW w:w="1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m</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650.48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218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98</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无缝钢管</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1.安装部位：室内</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2.介质：空调冷、热水</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3.规格、压力等级：DN125，水管承受压力＞0.8MPa</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4.连接形式：焊接</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5.压力试验及吹、洗设计要求：水压试验、水冲洗  6.包括水管穿墙套管，热浸锌吊支架（预埋吊座）、除锈刷油防腐、管道及膨胀节等，其余按设计及规范要求</w:t>
                  </w:r>
                </w:p>
              </w:tc>
              <w:tc>
                <w:tcPr>
                  <w:tcW w:w="1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m</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331.17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218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99</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无缝钢管</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1.安装部位：室内</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2.介质：空调冷、热水</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3.规格、压力等级：DN150，水管承受压力＞0.8MPa</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4.连接形式：焊接</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5.压力试验及吹、洗设计要求：水压试验、水冲洗  6.包括水管穿墙套管，热浸锌吊支架（预埋吊座）、除锈刷油防腐、管道及膨胀节等，其余按设计及规范要求</w:t>
                  </w:r>
                </w:p>
              </w:tc>
              <w:tc>
                <w:tcPr>
                  <w:tcW w:w="1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m</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483.30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218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100</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无缝钢管</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1.安装部位：室内</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2.介质：空调冷、热水</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3.规格、压力等级：DN200，水管承受压力＞0.8MPa</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4.连接形式：焊接</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5.压力试验及吹、洗设计要求：水压试验、水冲洗  6.包括水管穿墙套管，热浸锌吊支架（预埋吊座）、除锈刷油防腐、管道及膨胀节等，其余按设计及规范要求</w:t>
                  </w:r>
                </w:p>
              </w:tc>
              <w:tc>
                <w:tcPr>
                  <w:tcW w:w="1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m</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423.90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48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101</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波纹补偿管</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1.名称：波纹补偿管</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2.规格：DN80</w:t>
                  </w:r>
                </w:p>
              </w:tc>
              <w:tc>
                <w:tcPr>
                  <w:tcW w:w="1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m</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48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102</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波纹补偿管</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1.名称：波纹补偿管</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2.规格：DN100</w:t>
                  </w:r>
                </w:p>
              </w:tc>
              <w:tc>
                <w:tcPr>
                  <w:tcW w:w="1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m</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4.00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48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103</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波纹补偿管</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1.名称：波纹补偿管</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2.规格：DN125</w:t>
                  </w:r>
                </w:p>
              </w:tc>
              <w:tc>
                <w:tcPr>
                  <w:tcW w:w="1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m</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4.00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48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104</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波纹补偿管</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1.名称：波纹补偿管</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2.规格：DN150</w:t>
                  </w:r>
                </w:p>
              </w:tc>
              <w:tc>
                <w:tcPr>
                  <w:tcW w:w="1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m</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48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105</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波纹补偿管</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1.名称：波纹补偿管</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2.规格：DN200</w:t>
                  </w:r>
                </w:p>
              </w:tc>
              <w:tc>
                <w:tcPr>
                  <w:tcW w:w="1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m</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4.00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22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106</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水管橡塑保温棉</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1.名称：水管橡塑保温棉</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2.绝热厚度：20mm</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3.规格：燃烧等级:B1级,导热系数:平均温度为0℃时≤0.034w/m.k,表观密度:≤95Kg/m3</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阿乐斯福乐斯（德国）、阿斯克（浙江）、杜肯福耐斯（美国）</w:t>
                  </w:r>
                </w:p>
              </w:tc>
              <w:tc>
                <w:tcPr>
                  <w:tcW w:w="6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m3</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1.33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22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107</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水管橡塑保温棉</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1.名称：水管橡塑保温棉</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2.绝热厚度：30mm</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3.规格：燃烧等级:B1级,导热系数:平均温度为0℃时≤0.034w/m.k,表观密度:≤95Kg/m3</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阿乐斯福乐斯（德国）、阿斯克（浙江）、杜肯福耐斯（美国）</w:t>
                  </w:r>
                </w:p>
              </w:tc>
              <w:tc>
                <w:tcPr>
                  <w:tcW w:w="6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m3</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34.78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48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108</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保护层铝箔</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1.名称：保护层铝箔</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2.规格：0.5mm</w:t>
                  </w:r>
                </w:p>
              </w:tc>
              <w:tc>
                <w:tcPr>
                  <w:tcW w:w="1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m2</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366.35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218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109</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磷酸脱氧无缝紫铜管</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1.材质：磷酸脱氧无缝紫铜管</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2.规格：φ9.5*0.8</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3.焊接方法：钎焊+氮气置换焊</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4.压力试验、吹扫与清洗设计要求：气密性试验、空气吹扫、清洗、真空干燥、分歧器、冷媒等</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5.脱脂设计要求：脱脂                           6、包括分歧器、冷媒、支架及其刷油防腐等图纸涉及一切内容的供应及安装</w:t>
                  </w:r>
                </w:p>
              </w:tc>
              <w:tc>
                <w:tcPr>
                  <w:tcW w:w="1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m</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48.70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236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110</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磷酸脱氧无缝紫铜管</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1.材质：磷酸脱氧无缝紫铜管</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2.规格：φ16*1</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3.焊接方法：钎焊+氮气置换焊</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4.压力试验、吹扫与清洗设计要求：气密性试验、空气吹扫、清洗、真空干燥</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5.脱脂设计要求：脱脂                           6、包括分歧器、冷媒、支架及其刷油防腐等图纸涉及一切内容的供应及安装</w:t>
                  </w:r>
                </w:p>
              </w:tc>
              <w:tc>
                <w:tcPr>
                  <w:tcW w:w="1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m</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48.70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561"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c>
                <w:tcPr>
                  <w:tcW w:w="571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bCs/>
                      <w:color w:val="auto"/>
                      <w:sz w:val="20"/>
                      <w:szCs w:val="20"/>
                      <w:highlight w:val="none"/>
                    </w:rPr>
                  </w:pPr>
                  <w:r>
                    <w:rPr>
                      <w:rFonts w:hint="eastAsia" w:ascii="宋体" w:hAnsi="宋体" w:cs="宋体"/>
                      <w:b/>
                      <w:bCs/>
                      <w:color w:val="auto"/>
                      <w:sz w:val="20"/>
                      <w:szCs w:val="20"/>
                      <w:highlight w:val="none"/>
                      <w:lang w:bidi="ar"/>
                    </w:rPr>
                    <w:t>合计</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c>
                <w:tcPr>
                  <w:tcW w:w="6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auto"/>
                      <w:sz w:val="20"/>
                      <w:szCs w:val="20"/>
                      <w:highlight w:val="none"/>
                    </w:rPr>
                  </w:pP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bl>
          <w:p>
            <w:pPr>
              <w:rPr>
                <w:color w:val="auto"/>
                <w:highlight w:val="none"/>
              </w:rPr>
            </w:pPr>
          </w:p>
          <w:p>
            <w:pPr>
              <w:rPr>
                <w:color w:val="auto"/>
                <w:highlight w:val="none"/>
              </w:rPr>
            </w:pPr>
          </w:p>
          <w:p>
            <w:pPr>
              <w:pStyle w:val="2"/>
              <w:rPr>
                <w:color w:val="auto"/>
                <w:highlight w:val="none"/>
              </w:rPr>
            </w:pPr>
          </w:p>
          <w:p>
            <w:pPr>
              <w:rPr>
                <w:color w:val="auto"/>
                <w:highlight w:val="none"/>
              </w:rPr>
            </w:pPr>
          </w:p>
          <w:p>
            <w:pPr>
              <w:pStyle w:val="2"/>
              <w:rPr>
                <w:color w:val="auto"/>
                <w:highlight w:val="none"/>
              </w:rPr>
            </w:pPr>
          </w:p>
          <w:p>
            <w:pPr>
              <w:rPr>
                <w:color w:val="auto"/>
                <w:highlight w:val="none"/>
              </w:rPr>
            </w:pPr>
          </w:p>
          <w:p>
            <w:pPr>
              <w:pStyle w:val="2"/>
              <w:rPr>
                <w:color w:val="auto"/>
                <w:highlight w:val="none"/>
              </w:rPr>
            </w:pPr>
          </w:p>
          <w:p>
            <w:pPr>
              <w:rPr>
                <w:color w:val="auto"/>
                <w:highlight w:val="none"/>
              </w:rPr>
            </w:pPr>
          </w:p>
          <w:p>
            <w:pPr>
              <w:pStyle w:val="2"/>
              <w:rPr>
                <w:color w:val="auto"/>
                <w:highlight w:val="none"/>
              </w:rPr>
            </w:pPr>
          </w:p>
          <w:p>
            <w:pPr>
              <w:rPr>
                <w:color w:val="auto"/>
                <w:highlight w:val="none"/>
              </w:rPr>
            </w:pPr>
          </w:p>
          <w:p>
            <w:pPr>
              <w:pStyle w:val="2"/>
              <w:rPr>
                <w:color w:val="auto"/>
                <w:highlight w:val="none"/>
              </w:rPr>
            </w:pPr>
          </w:p>
          <w:p>
            <w:pPr>
              <w:rPr>
                <w:color w:val="auto"/>
                <w:highlight w:val="none"/>
              </w:rPr>
            </w:pPr>
          </w:p>
          <w:p>
            <w:pPr>
              <w:pStyle w:val="2"/>
              <w:rPr>
                <w:color w:val="auto"/>
                <w:highlight w:val="none"/>
              </w:rPr>
            </w:pPr>
          </w:p>
          <w:p>
            <w:pPr>
              <w:rPr>
                <w:color w:val="auto"/>
                <w:highlight w:val="none"/>
              </w:rPr>
            </w:pPr>
          </w:p>
          <w:p>
            <w:pPr>
              <w:pStyle w:val="2"/>
              <w:rPr>
                <w:color w:val="auto"/>
                <w:highlight w:val="none"/>
              </w:rPr>
            </w:pPr>
          </w:p>
          <w:p>
            <w:pPr>
              <w:rPr>
                <w:color w:val="auto"/>
                <w:highlight w:val="none"/>
              </w:rPr>
            </w:pPr>
          </w:p>
          <w:p>
            <w:pPr>
              <w:pStyle w:val="2"/>
              <w:rPr>
                <w:color w:val="auto"/>
                <w:highlight w:val="none"/>
              </w:rPr>
            </w:pPr>
          </w:p>
          <w:p>
            <w:pPr>
              <w:rPr>
                <w:color w:val="auto"/>
                <w:highlight w:val="none"/>
              </w:rPr>
            </w:pPr>
          </w:p>
          <w:p>
            <w:pPr>
              <w:pStyle w:val="2"/>
              <w:rPr>
                <w:color w:val="auto"/>
                <w:highlight w:val="none"/>
              </w:rPr>
            </w:pPr>
          </w:p>
          <w:p>
            <w:pPr>
              <w:rPr>
                <w:color w:val="auto"/>
                <w:highlight w:val="none"/>
              </w:rPr>
            </w:pPr>
          </w:p>
          <w:p>
            <w:pPr>
              <w:pStyle w:val="2"/>
            </w:pPr>
          </w:p>
          <w:p>
            <w:pPr>
              <w:rPr>
                <w:color w:val="auto"/>
                <w:highlight w:val="none"/>
              </w:rPr>
            </w:pPr>
          </w:p>
          <w:tbl>
            <w:tblPr>
              <w:tblStyle w:val="27"/>
              <w:tblW w:w="9525" w:type="dxa"/>
              <w:tblInd w:w="93" w:type="dxa"/>
              <w:tblLayout w:type="fixed"/>
              <w:tblCellMar>
                <w:top w:w="0" w:type="dxa"/>
                <w:left w:w="108" w:type="dxa"/>
                <w:bottom w:w="0" w:type="dxa"/>
                <w:right w:w="108" w:type="dxa"/>
              </w:tblCellMar>
            </w:tblPr>
            <w:tblGrid>
              <w:gridCol w:w="9525"/>
            </w:tblGrid>
            <w:tr>
              <w:tblPrEx>
                <w:tblCellMar>
                  <w:top w:w="0" w:type="dxa"/>
                  <w:left w:w="108" w:type="dxa"/>
                  <w:bottom w:w="0" w:type="dxa"/>
                  <w:right w:w="108" w:type="dxa"/>
                </w:tblCellMar>
              </w:tblPrEx>
              <w:trPr>
                <w:trHeight w:val="405" w:hRule="atLeast"/>
              </w:trPr>
              <w:tc>
                <w:tcPr>
                  <w:tcW w:w="9525" w:type="dxa"/>
                  <w:tcBorders>
                    <w:top w:val="nil"/>
                    <w:left w:val="nil"/>
                    <w:bottom w:val="nil"/>
                    <w:right w:val="nil"/>
                  </w:tcBorders>
                  <w:vAlign w:val="center"/>
                </w:tcPr>
                <w:p>
                  <w:pPr>
                    <w:widowControl/>
                    <w:jc w:val="center"/>
                    <w:textAlignment w:val="center"/>
                    <w:rPr>
                      <w:rFonts w:ascii="宋体" w:hAnsi="宋体" w:cs="宋体"/>
                      <w:b/>
                      <w:bCs/>
                      <w:color w:val="auto"/>
                      <w:sz w:val="32"/>
                      <w:szCs w:val="32"/>
                      <w:highlight w:val="none"/>
                      <w:lang w:bidi="ar"/>
                    </w:rPr>
                  </w:pPr>
                  <w:r>
                    <w:rPr>
                      <w:rFonts w:hint="eastAsia" w:ascii="宋体" w:hAnsi="宋体" w:cs="宋体"/>
                      <w:b/>
                      <w:bCs/>
                      <w:color w:val="auto"/>
                      <w:sz w:val="32"/>
                      <w:szCs w:val="32"/>
                      <w:highlight w:val="none"/>
                      <w:lang w:bidi="ar"/>
                    </w:rPr>
                    <w:t>强电专项工程清单</w:t>
                  </w:r>
                </w:p>
                <w:tbl>
                  <w:tblPr>
                    <w:tblStyle w:val="27"/>
                    <w:tblpPr w:leftFromText="180" w:rightFromText="180" w:vertAnchor="text" w:horzAnchor="page" w:tblpX="1" w:tblpY="431"/>
                    <w:tblOverlap w:val="never"/>
                    <w:tblW w:w="9355" w:type="dxa"/>
                    <w:tblInd w:w="0" w:type="dxa"/>
                    <w:tblLayout w:type="fixed"/>
                    <w:tblCellMar>
                      <w:top w:w="0" w:type="dxa"/>
                      <w:left w:w="108" w:type="dxa"/>
                      <w:bottom w:w="0" w:type="dxa"/>
                      <w:right w:w="108" w:type="dxa"/>
                    </w:tblCellMar>
                  </w:tblPr>
                  <w:tblGrid>
                    <w:gridCol w:w="395"/>
                    <w:gridCol w:w="1126"/>
                    <w:gridCol w:w="4384"/>
                    <w:gridCol w:w="1185"/>
                    <w:gridCol w:w="713"/>
                    <w:gridCol w:w="892"/>
                    <w:gridCol w:w="660"/>
                  </w:tblGrid>
                  <w:tr>
                    <w:tblPrEx>
                      <w:tblCellMar>
                        <w:top w:w="0" w:type="dxa"/>
                        <w:left w:w="108" w:type="dxa"/>
                        <w:bottom w:w="0" w:type="dxa"/>
                        <w:right w:w="108" w:type="dxa"/>
                      </w:tblCellMar>
                    </w:tblPrEx>
                    <w:trPr>
                      <w:trHeight w:val="480" w:hRule="atLeast"/>
                    </w:trPr>
                    <w:tc>
                      <w:tcPr>
                        <w:tcW w:w="39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bCs/>
                            <w:color w:val="auto"/>
                            <w:sz w:val="20"/>
                            <w:szCs w:val="20"/>
                            <w:highlight w:val="none"/>
                          </w:rPr>
                        </w:pPr>
                        <w:r>
                          <w:rPr>
                            <w:rFonts w:hint="eastAsia" w:ascii="宋体" w:hAnsi="宋体" w:cs="宋体"/>
                            <w:b/>
                            <w:bCs/>
                            <w:color w:val="auto"/>
                            <w:sz w:val="20"/>
                            <w:szCs w:val="20"/>
                            <w:highlight w:val="none"/>
                            <w:lang w:bidi="ar"/>
                          </w:rPr>
                          <w:t>序号</w:t>
                        </w:r>
                      </w:p>
                    </w:tc>
                    <w:tc>
                      <w:tcPr>
                        <w:tcW w:w="112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bCs/>
                            <w:color w:val="auto"/>
                            <w:sz w:val="20"/>
                            <w:szCs w:val="20"/>
                            <w:highlight w:val="none"/>
                          </w:rPr>
                        </w:pPr>
                        <w:r>
                          <w:rPr>
                            <w:rFonts w:hint="eastAsia" w:ascii="宋体" w:hAnsi="宋体" w:cs="宋体"/>
                            <w:b/>
                            <w:bCs/>
                            <w:color w:val="auto"/>
                            <w:sz w:val="20"/>
                            <w:szCs w:val="20"/>
                            <w:highlight w:val="none"/>
                            <w:lang w:bidi="ar"/>
                          </w:rPr>
                          <w:t>设备、材料名称</w:t>
                        </w:r>
                      </w:p>
                    </w:tc>
                    <w:tc>
                      <w:tcPr>
                        <w:tcW w:w="438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bCs/>
                            <w:color w:val="auto"/>
                            <w:sz w:val="20"/>
                            <w:szCs w:val="20"/>
                            <w:highlight w:val="none"/>
                          </w:rPr>
                        </w:pPr>
                        <w:r>
                          <w:rPr>
                            <w:rFonts w:hint="eastAsia" w:ascii="宋体" w:hAnsi="宋体" w:cs="宋体"/>
                            <w:b/>
                            <w:bCs/>
                            <w:color w:val="auto"/>
                            <w:sz w:val="20"/>
                            <w:szCs w:val="20"/>
                            <w:highlight w:val="none"/>
                            <w:lang w:bidi="ar"/>
                          </w:rPr>
                          <w:t>规格型号</w:t>
                        </w:r>
                      </w:p>
                    </w:tc>
                    <w:tc>
                      <w:tcPr>
                        <w:tcW w:w="118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bCs/>
                            <w:color w:val="auto"/>
                            <w:sz w:val="20"/>
                            <w:szCs w:val="20"/>
                            <w:highlight w:val="none"/>
                          </w:rPr>
                        </w:pPr>
                        <w:r>
                          <w:rPr>
                            <w:rFonts w:hint="eastAsia" w:ascii="宋体" w:hAnsi="宋体" w:cs="宋体"/>
                            <w:b/>
                            <w:bCs/>
                            <w:color w:val="auto"/>
                            <w:sz w:val="20"/>
                            <w:szCs w:val="20"/>
                            <w:highlight w:val="none"/>
                            <w:lang w:val="en-US" w:eastAsia="zh-CN" w:bidi="ar"/>
                          </w:rPr>
                          <w:t>推荐</w:t>
                        </w:r>
                        <w:r>
                          <w:rPr>
                            <w:rFonts w:hint="eastAsia" w:ascii="宋体" w:hAnsi="宋体" w:cs="宋体"/>
                            <w:b/>
                            <w:bCs/>
                            <w:color w:val="auto"/>
                            <w:sz w:val="20"/>
                            <w:szCs w:val="20"/>
                            <w:highlight w:val="none"/>
                            <w:lang w:bidi="ar"/>
                          </w:rPr>
                          <w:t>品牌</w:t>
                        </w:r>
                      </w:p>
                    </w:tc>
                    <w:tc>
                      <w:tcPr>
                        <w:tcW w:w="71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bCs/>
                            <w:color w:val="auto"/>
                            <w:sz w:val="20"/>
                            <w:szCs w:val="20"/>
                            <w:highlight w:val="none"/>
                          </w:rPr>
                        </w:pPr>
                        <w:r>
                          <w:rPr>
                            <w:rFonts w:hint="eastAsia" w:ascii="宋体" w:hAnsi="宋体" w:cs="宋体"/>
                            <w:b/>
                            <w:bCs/>
                            <w:color w:val="auto"/>
                            <w:sz w:val="20"/>
                            <w:szCs w:val="20"/>
                            <w:highlight w:val="none"/>
                            <w:lang w:bidi="ar"/>
                          </w:rPr>
                          <w:t>单位</w:t>
                        </w:r>
                      </w:p>
                    </w:tc>
                    <w:tc>
                      <w:tcPr>
                        <w:tcW w:w="89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bCs/>
                            <w:color w:val="auto"/>
                            <w:sz w:val="20"/>
                            <w:szCs w:val="20"/>
                            <w:highlight w:val="none"/>
                          </w:rPr>
                        </w:pPr>
                        <w:r>
                          <w:rPr>
                            <w:rFonts w:hint="eastAsia" w:ascii="宋体" w:hAnsi="宋体" w:cs="宋体"/>
                            <w:b/>
                            <w:bCs/>
                            <w:color w:val="auto"/>
                            <w:sz w:val="20"/>
                            <w:szCs w:val="20"/>
                            <w:highlight w:val="none"/>
                            <w:lang w:bidi="ar"/>
                          </w:rPr>
                          <w:t>工程量</w:t>
                        </w:r>
                      </w:p>
                    </w:tc>
                    <w:tc>
                      <w:tcPr>
                        <w:tcW w:w="66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bCs/>
                            <w:color w:val="auto"/>
                            <w:sz w:val="20"/>
                            <w:szCs w:val="20"/>
                            <w:highlight w:val="none"/>
                          </w:rPr>
                        </w:pPr>
                        <w:r>
                          <w:rPr>
                            <w:rFonts w:hint="eastAsia" w:ascii="宋体" w:hAnsi="宋体" w:cs="宋体"/>
                            <w:b/>
                            <w:bCs/>
                            <w:color w:val="auto"/>
                            <w:sz w:val="20"/>
                            <w:szCs w:val="20"/>
                            <w:highlight w:val="none"/>
                            <w:lang w:bidi="ar"/>
                          </w:rPr>
                          <w:t>备注</w:t>
                        </w:r>
                      </w:p>
                    </w:tc>
                  </w:tr>
                  <w:tr>
                    <w:tblPrEx>
                      <w:tblCellMar>
                        <w:top w:w="0" w:type="dxa"/>
                        <w:left w:w="108" w:type="dxa"/>
                        <w:bottom w:w="0" w:type="dxa"/>
                        <w:right w:w="108" w:type="dxa"/>
                      </w:tblCellMar>
                    </w:tblPrEx>
                    <w:trPr>
                      <w:trHeight w:val="480" w:hRule="atLeast"/>
                    </w:trPr>
                    <w:tc>
                      <w:tcPr>
                        <w:tcW w:w="3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bCs/>
                            <w:color w:val="auto"/>
                            <w:sz w:val="20"/>
                            <w:szCs w:val="20"/>
                            <w:highlight w:val="none"/>
                          </w:rPr>
                        </w:pPr>
                      </w:p>
                    </w:tc>
                    <w:tc>
                      <w:tcPr>
                        <w:tcW w:w="112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bCs/>
                            <w:color w:val="auto"/>
                            <w:sz w:val="20"/>
                            <w:szCs w:val="20"/>
                            <w:highlight w:val="none"/>
                          </w:rPr>
                        </w:pPr>
                      </w:p>
                    </w:tc>
                    <w:tc>
                      <w:tcPr>
                        <w:tcW w:w="43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bCs/>
                            <w:color w:val="auto"/>
                            <w:sz w:val="20"/>
                            <w:szCs w:val="20"/>
                            <w:highlight w:val="none"/>
                          </w:rPr>
                        </w:pPr>
                      </w:p>
                    </w:tc>
                    <w:tc>
                      <w:tcPr>
                        <w:tcW w:w="11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bCs/>
                            <w:color w:val="auto"/>
                            <w:sz w:val="20"/>
                            <w:szCs w:val="20"/>
                            <w:highlight w:val="none"/>
                          </w:rPr>
                        </w:pPr>
                      </w:p>
                    </w:tc>
                    <w:tc>
                      <w:tcPr>
                        <w:tcW w:w="71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bCs/>
                            <w:color w:val="auto"/>
                            <w:sz w:val="20"/>
                            <w:szCs w:val="20"/>
                            <w:highlight w:val="none"/>
                          </w:rPr>
                        </w:pPr>
                      </w:p>
                    </w:tc>
                    <w:tc>
                      <w:tcPr>
                        <w:tcW w:w="89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bCs/>
                            <w:color w:val="auto"/>
                            <w:sz w:val="20"/>
                            <w:szCs w:val="20"/>
                            <w:highlight w:val="none"/>
                          </w:rPr>
                        </w:pPr>
                      </w:p>
                    </w:tc>
                    <w:tc>
                      <w:tcPr>
                        <w:tcW w:w="6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bCs/>
                            <w:color w:val="auto"/>
                            <w:sz w:val="20"/>
                            <w:szCs w:val="20"/>
                            <w:highlight w:val="none"/>
                          </w:rPr>
                        </w:pPr>
                      </w:p>
                    </w:tc>
                  </w:tr>
                  <w:tr>
                    <w:tblPrEx>
                      <w:tblCellMar>
                        <w:top w:w="0" w:type="dxa"/>
                        <w:left w:w="108" w:type="dxa"/>
                        <w:bottom w:w="0" w:type="dxa"/>
                        <w:right w:w="108" w:type="dxa"/>
                      </w:tblCellMar>
                    </w:tblPrEx>
                    <w:trPr>
                      <w:trHeight w:val="270" w:hRule="atLeast"/>
                    </w:trPr>
                    <w:tc>
                      <w:tcPr>
                        <w:tcW w:w="39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16"/>
                            <w:szCs w:val="16"/>
                            <w:highlight w:val="none"/>
                          </w:rPr>
                        </w:pPr>
                      </w:p>
                    </w:tc>
                    <w:tc>
                      <w:tcPr>
                        <w:tcW w:w="1126"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16"/>
                            <w:szCs w:val="16"/>
                            <w:highlight w:val="none"/>
                          </w:rPr>
                        </w:pPr>
                      </w:p>
                    </w:tc>
                    <w:tc>
                      <w:tcPr>
                        <w:tcW w:w="4384"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16"/>
                            <w:szCs w:val="16"/>
                            <w:highlight w:val="none"/>
                          </w:rPr>
                        </w:pP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 w:val="16"/>
                            <w:szCs w:val="16"/>
                            <w:highlight w:val="none"/>
                          </w:rPr>
                        </w:pPr>
                      </w:p>
                    </w:tc>
                    <w:tc>
                      <w:tcPr>
                        <w:tcW w:w="713"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16"/>
                            <w:szCs w:val="16"/>
                            <w:highlight w:val="none"/>
                          </w:rPr>
                        </w:pPr>
                      </w:p>
                    </w:tc>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 w:val="16"/>
                            <w:szCs w:val="16"/>
                            <w:highlight w:val="none"/>
                          </w:rPr>
                        </w:pP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270" w:hRule="atLeast"/>
                    </w:trPr>
                    <w:tc>
                      <w:tcPr>
                        <w:tcW w:w="3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一</w:t>
                        </w:r>
                      </w:p>
                    </w:tc>
                    <w:tc>
                      <w:tcPr>
                        <w:tcW w:w="551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b/>
                            <w:bCs/>
                            <w:color w:val="auto"/>
                            <w:sz w:val="20"/>
                            <w:szCs w:val="20"/>
                            <w:highlight w:val="none"/>
                          </w:rPr>
                        </w:pPr>
                        <w:r>
                          <w:rPr>
                            <w:rFonts w:hint="eastAsia" w:ascii="宋体" w:hAnsi="宋体" w:cs="宋体"/>
                            <w:b/>
                            <w:bCs/>
                            <w:color w:val="auto"/>
                            <w:sz w:val="20"/>
                            <w:szCs w:val="20"/>
                            <w:highlight w:val="none"/>
                            <w:lang w:bidi="ar"/>
                          </w:rPr>
                          <w:t>配电箱、柜、插座箱、电度表、电表箱、等电位</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bCs/>
                            <w:color w:val="auto"/>
                            <w:sz w:val="20"/>
                            <w:szCs w:val="20"/>
                            <w:highlight w:val="none"/>
                          </w:rPr>
                        </w:pPr>
                      </w:p>
                    </w:tc>
                    <w:tc>
                      <w:tcPr>
                        <w:tcW w:w="713"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 w:val="20"/>
                            <w:szCs w:val="20"/>
                            <w:highlight w:val="none"/>
                          </w:rPr>
                        </w:pP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151" w:hRule="atLeast"/>
                    </w:trPr>
                    <w:tc>
                      <w:tcPr>
                        <w:tcW w:w="3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 </w:t>
                        </w:r>
                      </w:p>
                    </w:tc>
                    <w:tc>
                      <w:tcPr>
                        <w:tcW w:w="112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一层中心供应室设备配电箱 1AT-GY1</w:t>
                        </w:r>
                      </w:p>
                    </w:tc>
                    <w:tc>
                      <w:tcPr>
                        <w:tcW w:w="438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Pn=76KW，带双切、漏电火灾探测器；含箱体内部所有元器件；箱体接地；配电箱内部接线；含接线端子；具体参数要求详见系统图</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配电箱电气元件：施耐德、西门子、ABB</w:t>
                        </w:r>
                      </w:p>
                    </w:tc>
                    <w:tc>
                      <w:tcPr>
                        <w:tcW w:w="7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151" w:hRule="atLeast"/>
                    </w:trPr>
                    <w:tc>
                      <w:tcPr>
                        <w:tcW w:w="3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 </w:t>
                        </w:r>
                      </w:p>
                    </w:tc>
                    <w:tc>
                      <w:tcPr>
                        <w:tcW w:w="112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一层中心供应室设备配电箱 1AT-GY2</w:t>
                        </w:r>
                      </w:p>
                    </w:tc>
                    <w:tc>
                      <w:tcPr>
                        <w:tcW w:w="438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Pn=168KW，带双切、漏电火灾探测器；含箱体内部所有元器件；箱体接地；配电箱内部接线；含接线端子；具体参数要求详见系统图</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配电箱电气元件：施耐德、西门子、ABB</w:t>
                        </w:r>
                      </w:p>
                    </w:tc>
                    <w:tc>
                      <w:tcPr>
                        <w:tcW w:w="7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151" w:hRule="atLeast"/>
                    </w:trPr>
                    <w:tc>
                      <w:tcPr>
                        <w:tcW w:w="3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3 </w:t>
                        </w:r>
                      </w:p>
                    </w:tc>
                    <w:tc>
                      <w:tcPr>
                        <w:tcW w:w="112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一层供应室照明插座配电箱 1AL-GY</w:t>
                        </w:r>
                      </w:p>
                    </w:tc>
                    <w:tc>
                      <w:tcPr>
                        <w:tcW w:w="438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Pn=30kW；含箱体内部所有元器件；箱体接地；配电箱内部接线；含接线端子；具体参数要求详见系统图</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配电箱电气元件：施耐德、西门子、ABB</w:t>
                        </w:r>
                      </w:p>
                    </w:tc>
                    <w:tc>
                      <w:tcPr>
                        <w:tcW w:w="7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151" w:hRule="atLeast"/>
                    </w:trPr>
                    <w:tc>
                      <w:tcPr>
                        <w:tcW w:w="3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4 </w:t>
                        </w:r>
                      </w:p>
                    </w:tc>
                    <w:tc>
                      <w:tcPr>
                        <w:tcW w:w="112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一层中心供应室动力配电箱 1AP-GY</w:t>
                        </w:r>
                      </w:p>
                    </w:tc>
                    <w:tc>
                      <w:tcPr>
                        <w:tcW w:w="438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Pn=25kW；含箱体内部所有元器件；箱体接地；配电箱内部接线；含接线端子；具体参数要求详见系统图</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配电箱电气元件：施耐德、西门子、ABB</w:t>
                        </w:r>
                      </w:p>
                    </w:tc>
                    <w:tc>
                      <w:tcPr>
                        <w:tcW w:w="7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151" w:hRule="atLeast"/>
                    </w:trPr>
                    <w:tc>
                      <w:tcPr>
                        <w:tcW w:w="3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5 </w:t>
                        </w:r>
                      </w:p>
                    </w:tc>
                    <w:tc>
                      <w:tcPr>
                        <w:tcW w:w="112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空调机组配电箱KT-FAU-ZG-101</w:t>
                        </w:r>
                      </w:p>
                    </w:tc>
                    <w:tc>
                      <w:tcPr>
                        <w:tcW w:w="438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Pn=20.2KW；含箱体内部所有元器件；箱体接地；配电箱内部接线；含接线端子；具体参数要求详见系统图</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配电箱电气元件：施耐德、西门子、ABB</w:t>
                        </w:r>
                      </w:p>
                    </w:tc>
                    <w:tc>
                      <w:tcPr>
                        <w:tcW w:w="7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151" w:hRule="atLeast"/>
                    </w:trPr>
                    <w:tc>
                      <w:tcPr>
                        <w:tcW w:w="3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6 </w:t>
                        </w:r>
                      </w:p>
                    </w:tc>
                    <w:tc>
                      <w:tcPr>
                        <w:tcW w:w="112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空调机组配电箱KT-PAU-ZG-101</w:t>
                        </w:r>
                      </w:p>
                    </w:tc>
                    <w:tc>
                      <w:tcPr>
                        <w:tcW w:w="438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Pn=24KW；含箱体内部所有元器件；箱体接地；配电箱内部接线；含接线端子；具体参数要求详见系统图</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配电箱电气元件：施耐德、西门子、ABB</w:t>
                        </w:r>
                      </w:p>
                    </w:tc>
                    <w:tc>
                      <w:tcPr>
                        <w:tcW w:w="7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151" w:hRule="atLeast"/>
                    </w:trPr>
                    <w:tc>
                      <w:tcPr>
                        <w:tcW w:w="3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7 </w:t>
                        </w:r>
                      </w:p>
                    </w:tc>
                    <w:tc>
                      <w:tcPr>
                        <w:tcW w:w="112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儿科住院楼净化空调电源配电箱 3-2AT-JHk</w:t>
                        </w:r>
                      </w:p>
                    </w:tc>
                    <w:tc>
                      <w:tcPr>
                        <w:tcW w:w="438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Pn=90KW，带双切、漏电火灾探测器；含箱体内部所有元器件；箱体接地；配电箱内部接线；含接线端子；具体参数要求详见系统图</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配电箱电气元件：施耐德、西门子、ABB</w:t>
                        </w:r>
                      </w:p>
                    </w:tc>
                    <w:tc>
                      <w:tcPr>
                        <w:tcW w:w="7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151" w:hRule="atLeast"/>
                    </w:trPr>
                    <w:tc>
                      <w:tcPr>
                        <w:tcW w:w="3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8 </w:t>
                        </w:r>
                      </w:p>
                    </w:tc>
                    <w:tc>
                      <w:tcPr>
                        <w:tcW w:w="112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二层细胞分子实验室电源配电箱 3-2AT-SYS</w:t>
                        </w:r>
                      </w:p>
                    </w:tc>
                    <w:tc>
                      <w:tcPr>
                        <w:tcW w:w="438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Pn=31KW，带双切、漏电火灾探测器；含箱体内部所有元器件；箱体接地；配电箱内部接线；含接线端子；具体参数要求详见系统图</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配电箱电气元件：施耐德、西门子、ABB</w:t>
                        </w:r>
                      </w:p>
                    </w:tc>
                    <w:tc>
                      <w:tcPr>
                        <w:tcW w:w="7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320" w:hRule="atLeast"/>
                    </w:trPr>
                    <w:tc>
                      <w:tcPr>
                        <w:tcW w:w="3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9 </w:t>
                        </w:r>
                      </w:p>
                    </w:tc>
                    <w:tc>
                      <w:tcPr>
                        <w:tcW w:w="112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三层PICU负压病房照明配电箱 3-3AL-FYBF</w:t>
                        </w:r>
                      </w:p>
                    </w:tc>
                    <w:tc>
                      <w:tcPr>
                        <w:tcW w:w="438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Pn=10KW；含箱体内部所有元器件；箱体接地；配电箱内部接线；含接线端子；具体参数要求详见系统图</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配电箱电气元件：施耐德、西门子、ABB</w:t>
                        </w:r>
                      </w:p>
                    </w:tc>
                    <w:tc>
                      <w:tcPr>
                        <w:tcW w:w="7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320" w:hRule="atLeast"/>
                    </w:trPr>
                    <w:tc>
                      <w:tcPr>
                        <w:tcW w:w="3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 </w:t>
                        </w:r>
                      </w:p>
                    </w:tc>
                    <w:tc>
                      <w:tcPr>
                        <w:tcW w:w="112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四层MICU负压病房照明配电箱 3-4AL-FYBF</w:t>
                        </w:r>
                      </w:p>
                    </w:tc>
                    <w:tc>
                      <w:tcPr>
                        <w:tcW w:w="438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Pn=10KW；含箱体内部所有元器件；箱体接地；配电箱内部接线；含接线端子；具体参数要求详见系统图</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配电箱电气元件：施耐德、西门子、ABB</w:t>
                        </w:r>
                      </w:p>
                    </w:tc>
                    <w:tc>
                      <w:tcPr>
                        <w:tcW w:w="7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320" w:hRule="atLeast"/>
                    </w:trPr>
                    <w:tc>
                      <w:tcPr>
                        <w:tcW w:w="3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11 </w:t>
                        </w:r>
                      </w:p>
                    </w:tc>
                    <w:tc>
                      <w:tcPr>
                        <w:tcW w:w="112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空调机组配电箱KT-PAU-X-201</w:t>
                        </w:r>
                      </w:p>
                    </w:tc>
                    <w:tc>
                      <w:tcPr>
                        <w:tcW w:w="438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Pn=45KW；含箱体内部所有元器件；箱体接地；配电箱内部接线；含接线端子；具体参数要求详见系统图</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配电箱电气元件：施耐德、西门子、ABB</w:t>
                        </w:r>
                      </w:p>
                    </w:tc>
                    <w:tc>
                      <w:tcPr>
                        <w:tcW w:w="7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320" w:hRule="atLeast"/>
                    </w:trPr>
                    <w:tc>
                      <w:tcPr>
                        <w:tcW w:w="3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12 </w:t>
                        </w:r>
                      </w:p>
                    </w:tc>
                    <w:tc>
                      <w:tcPr>
                        <w:tcW w:w="112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空调机组配电箱KT-PAU-P-301</w:t>
                        </w:r>
                      </w:p>
                    </w:tc>
                    <w:tc>
                      <w:tcPr>
                        <w:tcW w:w="438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Pn=25.5KW；含箱体内部所有元器件；箱体接地；配电箱内部接线；含接线端子；具体参数要求详见系统图</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配电箱电气元件：施耐德、西门子、ABB</w:t>
                        </w:r>
                      </w:p>
                    </w:tc>
                    <w:tc>
                      <w:tcPr>
                        <w:tcW w:w="7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320" w:hRule="atLeast"/>
                    </w:trPr>
                    <w:tc>
                      <w:tcPr>
                        <w:tcW w:w="3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13 </w:t>
                        </w:r>
                      </w:p>
                    </w:tc>
                    <w:tc>
                      <w:tcPr>
                        <w:tcW w:w="112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空调机组配电箱KT-PAU-M-401</w:t>
                        </w:r>
                      </w:p>
                    </w:tc>
                    <w:tc>
                      <w:tcPr>
                        <w:tcW w:w="438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Pn=25.5KW；含箱体内部所有元器件；箱体接地；配电箱内部接线；含接线端子；具体参数要求详见系统图</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配电箱电气元件：施耐德、西门子、ABB</w:t>
                        </w:r>
                      </w:p>
                    </w:tc>
                    <w:tc>
                      <w:tcPr>
                        <w:tcW w:w="7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320" w:hRule="atLeast"/>
                    </w:trPr>
                    <w:tc>
                      <w:tcPr>
                        <w:tcW w:w="3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14 </w:t>
                        </w:r>
                      </w:p>
                    </w:tc>
                    <w:tc>
                      <w:tcPr>
                        <w:tcW w:w="112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五层屋面其他净化区域冷热源电源配电箱 5AT-JHLRY5</w:t>
                        </w:r>
                      </w:p>
                    </w:tc>
                    <w:tc>
                      <w:tcPr>
                        <w:tcW w:w="438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Pn=160KW，带双切、漏电火灾探测器；含箱体内部所有元器件；箱体接地；配电箱内部接线；含接线端子；具体参数要求详见系统图</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配电箱电气元件：施耐德、西门子、ABB</w:t>
                        </w:r>
                      </w:p>
                    </w:tc>
                    <w:tc>
                      <w:tcPr>
                        <w:tcW w:w="7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320" w:hRule="atLeast"/>
                    </w:trPr>
                    <w:tc>
                      <w:tcPr>
                        <w:tcW w:w="3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15 </w:t>
                        </w:r>
                      </w:p>
                    </w:tc>
                    <w:tc>
                      <w:tcPr>
                        <w:tcW w:w="112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一层静脉配置中心电源配电箱 1AT-JP</w:t>
                        </w:r>
                      </w:p>
                    </w:tc>
                    <w:tc>
                      <w:tcPr>
                        <w:tcW w:w="438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Pn=26KW，带双切、漏电火灾探测器；含箱体内部所有元器件；箱体接地；配电箱内部接线；含接线端子；具体参数要求详见系统图</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配电箱电气元件：施耐德、西门子、ABB</w:t>
                        </w:r>
                      </w:p>
                    </w:tc>
                    <w:tc>
                      <w:tcPr>
                        <w:tcW w:w="7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320" w:hRule="atLeast"/>
                    </w:trPr>
                    <w:tc>
                      <w:tcPr>
                        <w:tcW w:w="3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16 </w:t>
                        </w:r>
                      </w:p>
                    </w:tc>
                    <w:tc>
                      <w:tcPr>
                        <w:tcW w:w="112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一层静脉配置中心空调电源配电箱 1AT-JPK</w:t>
                        </w:r>
                      </w:p>
                    </w:tc>
                    <w:tc>
                      <w:tcPr>
                        <w:tcW w:w="438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Pn=92.5KW，带双切、漏电火灾探测器；含箱体内部所有元器件；箱体接地；配电箱内部接线；含接线端子；具体参数要求详见系统图</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配电箱电气元件：施耐德、西门子、ABB</w:t>
                        </w:r>
                      </w:p>
                    </w:tc>
                    <w:tc>
                      <w:tcPr>
                        <w:tcW w:w="7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320" w:hRule="atLeast"/>
                    </w:trPr>
                    <w:tc>
                      <w:tcPr>
                        <w:tcW w:w="3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17 </w:t>
                        </w:r>
                      </w:p>
                    </w:tc>
                    <w:tc>
                      <w:tcPr>
                        <w:tcW w:w="112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屋面静配、检验科、遗传科区域排风机控制配电箱 WAT-JHPF</w:t>
                        </w:r>
                      </w:p>
                    </w:tc>
                    <w:tc>
                      <w:tcPr>
                        <w:tcW w:w="438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Pn=21.7KW，带双切、漏电火灾探测器；含箱体内部所有元器件；箱体接地；配电箱内部接线；含接线端子；具体参数要求详见系统图</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配电箱电气元件：施耐德、西门子、ABB</w:t>
                        </w:r>
                      </w:p>
                    </w:tc>
                    <w:tc>
                      <w:tcPr>
                        <w:tcW w:w="7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320" w:hRule="atLeast"/>
                    </w:trPr>
                    <w:tc>
                      <w:tcPr>
                        <w:tcW w:w="3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18 </w:t>
                        </w:r>
                      </w:p>
                    </w:tc>
                    <w:tc>
                      <w:tcPr>
                        <w:tcW w:w="112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空调机组配电箱KT-PAU-JM-101</w:t>
                        </w:r>
                      </w:p>
                    </w:tc>
                    <w:tc>
                      <w:tcPr>
                        <w:tcW w:w="438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Pn=14.5KW；含箱体内部所有元器件；箱体接地；配电箱内部接线；含接线端子；具体参数要求详见系统图</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配电箱电气元件：施耐德、西门子、ABB</w:t>
                        </w:r>
                      </w:p>
                    </w:tc>
                    <w:tc>
                      <w:tcPr>
                        <w:tcW w:w="7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320" w:hRule="atLeast"/>
                    </w:trPr>
                    <w:tc>
                      <w:tcPr>
                        <w:tcW w:w="3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19 </w:t>
                        </w:r>
                      </w:p>
                    </w:tc>
                    <w:tc>
                      <w:tcPr>
                        <w:tcW w:w="112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空调机组配电箱KT-PAU-JM-102</w:t>
                        </w:r>
                      </w:p>
                    </w:tc>
                    <w:tc>
                      <w:tcPr>
                        <w:tcW w:w="438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Pn=78KW；含箱体内部所有元器件；箱体接地；配电箱内部接线；含接线端子；具体参数要求详见系统图</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配电箱电气元件：施耐德、西门子、ABB</w:t>
                        </w:r>
                      </w:p>
                    </w:tc>
                    <w:tc>
                      <w:tcPr>
                        <w:tcW w:w="7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320" w:hRule="atLeast"/>
                    </w:trPr>
                    <w:tc>
                      <w:tcPr>
                        <w:tcW w:w="3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20 </w:t>
                        </w:r>
                      </w:p>
                    </w:tc>
                    <w:tc>
                      <w:tcPr>
                        <w:tcW w:w="112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屋面排风机控制箱WAP-YCPF</w:t>
                        </w:r>
                      </w:p>
                    </w:tc>
                    <w:tc>
                      <w:tcPr>
                        <w:tcW w:w="438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Pn=8.8kW；含箱体内部所有元器件；箱体接地；配电箱内部接线；含接线端子；具体参数要求详见系统图</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配电箱电气元件：施耐德、西门子、ABB</w:t>
                        </w:r>
                      </w:p>
                    </w:tc>
                    <w:tc>
                      <w:tcPr>
                        <w:tcW w:w="7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320" w:hRule="atLeast"/>
                    </w:trPr>
                    <w:tc>
                      <w:tcPr>
                        <w:tcW w:w="3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21 </w:t>
                        </w:r>
                      </w:p>
                    </w:tc>
                    <w:tc>
                      <w:tcPr>
                        <w:tcW w:w="112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屋面排风机控制箱WAP-JMPF</w:t>
                        </w:r>
                      </w:p>
                    </w:tc>
                    <w:tc>
                      <w:tcPr>
                        <w:tcW w:w="438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Pn=6.6kW；含箱体内部所有元器件；箱体接地；配电箱内部接线；含接线端子；具体参数要求详见系统图</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配电箱电气元件：施耐德、西门子、ABB</w:t>
                        </w:r>
                      </w:p>
                    </w:tc>
                    <w:tc>
                      <w:tcPr>
                        <w:tcW w:w="7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320" w:hRule="atLeast"/>
                    </w:trPr>
                    <w:tc>
                      <w:tcPr>
                        <w:tcW w:w="3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22 </w:t>
                        </w:r>
                      </w:p>
                    </w:tc>
                    <w:tc>
                      <w:tcPr>
                        <w:tcW w:w="112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屋面二层检验科、遗传科净化空调电源配电箱 2AT-JHK</w:t>
                        </w:r>
                      </w:p>
                    </w:tc>
                    <w:tc>
                      <w:tcPr>
                        <w:tcW w:w="438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Pn=175KW，带双切、漏电火灾探测器；含箱体内部所有元器件；箱体接地；配电箱内部接线；含接线端子；具体参数要求详见系统图</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配电箱电气元件：施耐德、西门子、ABB</w:t>
                        </w:r>
                      </w:p>
                    </w:tc>
                    <w:tc>
                      <w:tcPr>
                        <w:tcW w:w="7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320" w:hRule="atLeast"/>
                    </w:trPr>
                    <w:tc>
                      <w:tcPr>
                        <w:tcW w:w="3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23 </w:t>
                        </w:r>
                      </w:p>
                    </w:tc>
                    <w:tc>
                      <w:tcPr>
                        <w:tcW w:w="112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空调机组配电箱KT-PAUYC201</w:t>
                        </w:r>
                      </w:p>
                    </w:tc>
                    <w:tc>
                      <w:tcPr>
                        <w:tcW w:w="438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Pn=80KW；含箱体内部所有元器件；箱体接地；配电箱内部接线；含接线端子；具体参数要求详见系统图</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配电箱电气元件：施耐德、西门子、ABB</w:t>
                        </w:r>
                      </w:p>
                    </w:tc>
                    <w:tc>
                      <w:tcPr>
                        <w:tcW w:w="7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320" w:hRule="atLeast"/>
                    </w:trPr>
                    <w:tc>
                      <w:tcPr>
                        <w:tcW w:w="3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24 </w:t>
                        </w:r>
                      </w:p>
                    </w:tc>
                    <w:tc>
                      <w:tcPr>
                        <w:tcW w:w="112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空调机组配电箱KT-PAUYC202</w:t>
                        </w:r>
                      </w:p>
                    </w:tc>
                    <w:tc>
                      <w:tcPr>
                        <w:tcW w:w="438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Pn=65KW；含箱体内部所有元器件；箱体接地；配电箱内部接线；含接线端子；具体参数要求详见系统图</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配电箱电气元件：施耐德、西门子、ABB</w:t>
                        </w:r>
                      </w:p>
                    </w:tc>
                    <w:tc>
                      <w:tcPr>
                        <w:tcW w:w="7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320" w:hRule="atLeast"/>
                    </w:trPr>
                    <w:tc>
                      <w:tcPr>
                        <w:tcW w:w="3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25 </w:t>
                        </w:r>
                      </w:p>
                    </w:tc>
                    <w:tc>
                      <w:tcPr>
                        <w:tcW w:w="112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二层遗传科PCR电源配电箱 2AT-YCPCR</w:t>
                        </w:r>
                      </w:p>
                    </w:tc>
                    <w:tc>
                      <w:tcPr>
                        <w:tcW w:w="438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Pn=67KW，带双切、漏电火灾探测器；含箱体内部所有元器件；箱体接地；配电箱内部接线；含接线端子；具体参数要求详见系统图</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配电箱电气元件：施耐德、西门子、ABB</w:t>
                        </w:r>
                      </w:p>
                    </w:tc>
                    <w:tc>
                      <w:tcPr>
                        <w:tcW w:w="7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320" w:hRule="atLeast"/>
                    </w:trPr>
                    <w:tc>
                      <w:tcPr>
                        <w:tcW w:w="3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26 </w:t>
                        </w:r>
                      </w:p>
                    </w:tc>
                    <w:tc>
                      <w:tcPr>
                        <w:tcW w:w="112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四层隔离产房电源配电箱 4AT-GLCF</w:t>
                        </w:r>
                      </w:p>
                    </w:tc>
                    <w:tc>
                      <w:tcPr>
                        <w:tcW w:w="438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Pn=36KW，带双切、漏电火灾探测器；含箱体内部所有元器件；箱体接地；配电箱内部接线；含接线端子；具体参数要求详见系统图</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配电箱电气元件：施耐德、西门子、ABB</w:t>
                        </w:r>
                      </w:p>
                    </w:tc>
                    <w:tc>
                      <w:tcPr>
                        <w:tcW w:w="7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320" w:hRule="atLeast"/>
                    </w:trPr>
                    <w:tc>
                      <w:tcPr>
                        <w:tcW w:w="3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27 </w:t>
                        </w:r>
                      </w:p>
                    </w:tc>
                    <w:tc>
                      <w:tcPr>
                        <w:tcW w:w="112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空调机组配电箱 KT-PAU-C-401</w:t>
                        </w:r>
                      </w:p>
                    </w:tc>
                    <w:tc>
                      <w:tcPr>
                        <w:tcW w:w="438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Pn=25.5KW；含箱体内部所有元器件；箱体接地；配电箱内部接线；含接线端子；具体参数要求详见系统图</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配电箱电气元件：施耐德、西门子、ABB</w:t>
                        </w:r>
                      </w:p>
                    </w:tc>
                    <w:tc>
                      <w:tcPr>
                        <w:tcW w:w="7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2.00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320" w:hRule="atLeast"/>
                    </w:trPr>
                    <w:tc>
                      <w:tcPr>
                        <w:tcW w:w="3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28 </w:t>
                        </w:r>
                      </w:p>
                    </w:tc>
                    <w:tc>
                      <w:tcPr>
                        <w:tcW w:w="112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四层产房手术室电源配电箱 4CF-OP1</w:t>
                        </w:r>
                      </w:p>
                    </w:tc>
                    <w:tc>
                      <w:tcPr>
                        <w:tcW w:w="438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Pn=10KW；含箱体内部所有元器件；箱体接地；配电箱内部接线；含接线端子；具体参数要求详见系统图</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配电箱电气元件：施耐德、西门子、ABB</w:t>
                        </w:r>
                      </w:p>
                    </w:tc>
                    <w:tc>
                      <w:tcPr>
                        <w:tcW w:w="7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320" w:hRule="atLeast"/>
                    </w:trPr>
                    <w:tc>
                      <w:tcPr>
                        <w:tcW w:w="3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29 </w:t>
                        </w:r>
                      </w:p>
                    </w:tc>
                    <w:tc>
                      <w:tcPr>
                        <w:tcW w:w="112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三层病理科PCR室照明配电箱 Y3AL-BL1、5</w:t>
                        </w:r>
                      </w:p>
                    </w:tc>
                    <w:tc>
                      <w:tcPr>
                        <w:tcW w:w="438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Pn=20KW；含箱体内部所有元器件；箱体接地；配电箱内部接线；含接线端子；具体参数要求详见系统图</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配电箱电气元件：施耐德、西门子、ABB</w:t>
                        </w:r>
                      </w:p>
                    </w:tc>
                    <w:tc>
                      <w:tcPr>
                        <w:tcW w:w="7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2.00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320" w:hRule="atLeast"/>
                    </w:trPr>
                    <w:tc>
                      <w:tcPr>
                        <w:tcW w:w="3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30 </w:t>
                        </w:r>
                      </w:p>
                    </w:tc>
                    <w:tc>
                      <w:tcPr>
                        <w:tcW w:w="112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三层病理科PCR室照明配电箱 Y3AL-BL2、3、4</w:t>
                        </w:r>
                      </w:p>
                    </w:tc>
                    <w:tc>
                      <w:tcPr>
                        <w:tcW w:w="438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Pn=20KW；含箱体内部所有元器件；箱体接地；配电箱内部接线；含接线端子；具体参数要求详见系统图</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配电箱电气元件：施耐德、西门子、ABB</w:t>
                        </w:r>
                      </w:p>
                    </w:tc>
                    <w:tc>
                      <w:tcPr>
                        <w:tcW w:w="7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3.00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320" w:hRule="atLeast"/>
                    </w:trPr>
                    <w:tc>
                      <w:tcPr>
                        <w:tcW w:w="3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31 </w:t>
                        </w:r>
                      </w:p>
                    </w:tc>
                    <w:tc>
                      <w:tcPr>
                        <w:tcW w:w="112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三层病理科空调电源配电箱 Y-3AT-BLk</w:t>
                        </w:r>
                      </w:p>
                    </w:tc>
                    <w:tc>
                      <w:tcPr>
                        <w:tcW w:w="438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Pn=97.5KW，带双切、漏电火灾探测器；含箱体内部所有元器件；箱体接地；配电箱内部接线；含接线端子；具体参数要求详见系统图</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配电箱电气元件：施耐德、西门子、ABB</w:t>
                        </w:r>
                      </w:p>
                    </w:tc>
                    <w:tc>
                      <w:tcPr>
                        <w:tcW w:w="7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320" w:hRule="atLeast"/>
                    </w:trPr>
                    <w:tc>
                      <w:tcPr>
                        <w:tcW w:w="3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32 </w:t>
                        </w:r>
                      </w:p>
                    </w:tc>
                    <w:tc>
                      <w:tcPr>
                        <w:tcW w:w="112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空调机组配电箱KT-PAU-BL-301</w:t>
                        </w:r>
                      </w:p>
                    </w:tc>
                    <w:tc>
                      <w:tcPr>
                        <w:tcW w:w="438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Pn=74KW；含箱体内部所有元器件；箱体接地；配电箱内部接线；含接线端子；具体参数要求详见系统图</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配电箱电气元件：施耐德、西门子、ABB</w:t>
                        </w:r>
                      </w:p>
                    </w:tc>
                    <w:tc>
                      <w:tcPr>
                        <w:tcW w:w="7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320" w:hRule="atLeast"/>
                    </w:trPr>
                    <w:tc>
                      <w:tcPr>
                        <w:tcW w:w="3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33 </w:t>
                        </w:r>
                      </w:p>
                    </w:tc>
                    <w:tc>
                      <w:tcPr>
                        <w:tcW w:w="112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空调机组配电箱KT-PAU-BL-302</w:t>
                        </w:r>
                      </w:p>
                    </w:tc>
                    <w:tc>
                      <w:tcPr>
                        <w:tcW w:w="438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Pn=74KW；含箱体内部所有元器件；箱体接地；配电箱内部接线；含接线端子；具体参数要求详见系统图</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配电箱电气元件：施耐德、西门子、ABB</w:t>
                        </w:r>
                      </w:p>
                    </w:tc>
                    <w:tc>
                      <w:tcPr>
                        <w:tcW w:w="7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320" w:hRule="atLeast"/>
                    </w:trPr>
                    <w:tc>
                      <w:tcPr>
                        <w:tcW w:w="3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34 </w:t>
                        </w:r>
                      </w:p>
                    </w:tc>
                    <w:tc>
                      <w:tcPr>
                        <w:tcW w:w="112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四层手术部DSA设备电源配电箱 4AT-DSA</w:t>
                        </w:r>
                      </w:p>
                    </w:tc>
                    <w:tc>
                      <w:tcPr>
                        <w:tcW w:w="438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Pn=90KW，带双切、漏电火灾探测器；含箱体内部所有元器件；箱体接地；配电箱内部接线；含接线端子；具体参数要求详见系统图</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配电箱电气元件：施耐德、西门子、ABB</w:t>
                        </w:r>
                      </w:p>
                    </w:tc>
                    <w:tc>
                      <w:tcPr>
                        <w:tcW w:w="7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320" w:hRule="atLeast"/>
                    </w:trPr>
                    <w:tc>
                      <w:tcPr>
                        <w:tcW w:w="3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35 </w:t>
                        </w:r>
                      </w:p>
                    </w:tc>
                    <w:tc>
                      <w:tcPr>
                        <w:tcW w:w="112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四层手术部电源配电箱 4AT-SS1</w:t>
                        </w:r>
                      </w:p>
                    </w:tc>
                    <w:tc>
                      <w:tcPr>
                        <w:tcW w:w="438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Pn=125KW，带双切、漏电火灾探测器；含箱体内部所有元器件；箱体接地；配电箱内部接线；含接线端子；具体参数要求详见系统图</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配电箱电气元件：施耐德、西门子、ABB</w:t>
                        </w:r>
                      </w:p>
                    </w:tc>
                    <w:tc>
                      <w:tcPr>
                        <w:tcW w:w="7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320" w:hRule="atLeast"/>
                    </w:trPr>
                    <w:tc>
                      <w:tcPr>
                        <w:tcW w:w="3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36 </w:t>
                        </w:r>
                      </w:p>
                    </w:tc>
                    <w:tc>
                      <w:tcPr>
                        <w:tcW w:w="112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四层手术部电源配电箱 4AT-SS2</w:t>
                        </w:r>
                      </w:p>
                    </w:tc>
                    <w:tc>
                      <w:tcPr>
                        <w:tcW w:w="438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Pn=122KW，带双切、漏电火灾探测器；含箱体内部所有元器件；箱体接地；配电箱内部接线；含接线端子；具体参数要求详见系统图</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配电箱电气元件：施耐德、西门子、ABB</w:t>
                        </w:r>
                      </w:p>
                    </w:tc>
                    <w:tc>
                      <w:tcPr>
                        <w:tcW w:w="7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320" w:hRule="atLeast"/>
                    </w:trPr>
                    <w:tc>
                      <w:tcPr>
                        <w:tcW w:w="3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37 </w:t>
                        </w:r>
                      </w:p>
                    </w:tc>
                    <w:tc>
                      <w:tcPr>
                        <w:tcW w:w="112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五层屋面设备层净化空调电源配电箱 5AT-JHK1</w:t>
                        </w:r>
                      </w:p>
                    </w:tc>
                    <w:tc>
                      <w:tcPr>
                        <w:tcW w:w="438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Pn=279KW，带双切、漏电火灾探测器；含箱体内部所有元器件；箱体接地；配电箱内部接线；含接线端子；具体参数要求详见系统图</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配电箱电气元件：施耐德、西门子、ABB</w:t>
                        </w:r>
                      </w:p>
                    </w:tc>
                    <w:tc>
                      <w:tcPr>
                        <w:tcW w:w="7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320" w:hRule="atLeast"/>
                    </w:trPr>
                    <w:tc>
                      <w:tcPr>
                        <w:tcW w:w="3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38 </w:t>
                        </w:r>
                      </w:p>
                    </w:tc>
                    <w:tc>
                      <w:tcPr>
                        <w:tcW w:w="112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五层屋面设备层净化空调电源配电箱 5AT-JHK2</w:t>
                        </w:r>
                      </w:p>
                    </w:tc>
                    <w:tc>
                      <w:tcPr>
                        <w:tcW w:w="438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Pn=280.7KW，带双切、漏电火灾探测器；含箱体内部所有元器件；箱体接地；配电箱内部接线；含接线端子；具体参数要求详见系统图</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配电箱电气元件：施耐德、西门子、ABB</w:t>
                        </w:r>
                      </w:p>
                    </w:tc>
                    <w:tc>
                      <w:tcPr>
                        <w:tcW w:w="7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320" w:hRule="atLeast"/>
                    </w:trPr>
                    <w:tc>
                      <w:tcPr>
                        <w:tcW w:w="3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39 </w:t>
                        </w:r>
                      </w:p>
                    </w:tc>
                    <w:tc>
                      <w:tcPr>
                        <w:tcW w:w="112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四层手术室配电箱 4SS-0P1~4SS-0P20</w:t>
                        </w:r>
                      </w:p>
                    </w:tc>
                    <w:tc>
                      <w:tcPr>
                        <w:tcW w:w="438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Pn=10KW，含箱体内部所有元器件；箱体接地；配电箱内部接线；含接线端子；具体参数要求详见系统图</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配电箱电气元件：施耐德、西门子、ABB</w:t>
                        </w:r>
                      </w:p>
                    </w:tc>
                    <w:tc>
                      <w:tcPr>
                        <w:tcW w:w="7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20.00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320" w:hRule="atLeast"/>
                    </w:trPr>
                    <w:tc>
                      <w:tcPr>
                        <w:tcW w:w="3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40 </w:t>
                        </w:r>
                      </w:p>
                    </w:tc>
                    <w:tc>
                      <w:tcPr>
                        <w:tcW w:w="112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四层手术部复苏室照明配电箱 4AL-FS1</w:t>
                        </w:r>
                      </w:p>
                    </w:tc>
                    <w:tc>
                      <w:tcPr>
                        <w:tcW w:w="438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Pn=42kW；含箱体内部所有元器件；箱体接地；配电箱内部接线；含接线端子；具体参数要求详见系统图</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配电箱电气元件：施耐德、西门子、ABB</w:t>
                        </w:r>
                      </w:p>
                    </w:tc>
                    <w:tc>
                      <w:tcPr>
                        <w:tcW w:w="7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320" w:hRule="atLeast"/>
                    </w:trPr>
                    <w:tc>
                      <w:tcPr>
                        <w:tcW w:w="3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41 </w:t>
                        </w:r>
                      </w:p>
                    </w:tc>
                    <w:tc>
                      <w:tcPr>
                        <w:tcW w:w="112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四层手术部复苏室照明配电箱 4AL-FS2</w:t>
                        </w:r>
                      </w:p>
                    </w:tc>
                    <w:tc>
                      <w:tcPr>
                        <w:tcW w:w="438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Pn=17kW；含箱体内部所有元器件；箱体接地；配电箱内部接线；含接线端子；具体参数要求详见系统图</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配电箱电气元件：施耐德、西门子、ABB</w:t>
                        </w:r>
                      </w:p>
                    </w:tc>
                    <w:tc>
                      <w:tcPr>
                        <w:tcW w:w="7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151" w:hRule="atLeast"/>
                    </w:trPr>
                    <w:tc>
                      <w:tcPr>
                        <w:tcW w:w="3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42 </w:t>
                        </w:r>
                      </w:p>
                    </w:tc>
                    <w:tc>
                      <w:tcPr>
                        <w:tcW w:w="112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四层手术部照明插座配电箱 4SSAL</w:t>
                        </w:r>
                      </w:p>
                    </w:tc>
                    <w:tc>
                      <w:tcPr>
                        <w:tcW w:w="438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Pn=25kW；含箱体内部所有元器件；箱体接地；配电箱内部接线；含接线端子；具体参数要求详见系统图</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配电箱电气元件：施耐德、西门子、ABB</w:t>
                        </w:r>
                      </w:p>
                    </w:tc>
                    <w:tc>
                      <w:tcPr>
                        <w:tcW w:w="7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151" w:hRule="atLeast"/>
                    </w:trPr>
                    <w:tc>
                      <w:tcPr>
                        <w:tcW w:w="3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43 </w:t>
                        </w:r>
                      </w:p>
                    </w:tc>
                    <w:tc>
                      <w:tcPr>
                        <w:tcW w:w="112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四层手术部动力配电箱 4AP-SS</w:t>
                        </w:r>
                      </w:p>
                    </w:tc>
                    <w:tc>
                      <w:tcPr>
                        <w:tcW w:w="438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Pn=24kW；含箱体内部所有元器件；箱体接地；配电箱内部接线；含接线端子；具体参数要求详见系统图</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配电箱电气元件：施耐德、西门子、ABB</w:t>
                        </w:r>
                      </w:p>
                    </w:tc>
                    <w:tc>
                      <w:tcPr>
                        <w:tcW w:w="7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151" w:hRule="atLeast"/>
                    </w:trPr>
                    <w:tc>
                      <w:tcPr>
                        <w:tcW w:w="3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44 </w:t>
                        </w:r>
                      </w:p>
                    </w:tc>
                    <w:tc>
                      <w:tcPr>
                        <w:tcW w:w="112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四层手术部DSA辅助用房配电箱 4AL-DSA</w:t>
                        </w:r>
                      </w:p>
                    </w:tc>
                    <w:tc>
                      <w:tcPr>
                        <w:tcW w:w="438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Pn=5kW；含箱体内部所有元器件；箱体接地；配电箱内部接线；含接线端子；具体参数要求详见系统图</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配电箱电气元件：施耐德、西门子、ABB</w:t>
                        </w:r>
                      </w:p>
                    </w:tc>
                    <w:tc>
                      <w:tcPr>
                        <w:tcW w:w="7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151" w:hRule="atLeast"/>
                    </w:trPr>
                    <w:tc>
                      <w:tcPr>
                        <w:tcW w:w="3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45 </w:t>
                        </w:r>
                      </w:p>
                    </w:tc>
                    <w:tc>
                      <w:tcPr>
                        <w:tcW w:w="112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空调机组配电箱 KT-AHU-S-401~KT-AHU-S-403</w:t>
                        </w:r>
                      </w:p>
                    </w:tc>
                    <w:tc>
                      <w:tcPr>
                        <w:tcW w:w="438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Pn=14KW；含箱体内部所有元器件；箱体接地；配电箱内部接线；含接线端子；具体参数要求详见系统图</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配电箱电气元件：施耐德、西门子、ABB</w:t>
                        </w:r>
                      </w:p>
                    </w:tc>
                    <w:tc>
                      <w:tcPr>
                        <w:tcW w:w="7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3.00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151" w:hRule="atLeast"/>
                    </w:trPr>
                    <w:tc>
                      <w:tcPr>
                        <w:tcW w:w="3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46 </w:t>
                        </w:r>
                      </w:p>
                    </w:tc>
                    <w:tc>
                      <w:tcPr>
                        <w:tcW w:w="112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空调机组配电箱 KT-AHU-S-404</w:t>
                        </w:r>
                      </w:p>
                    </w:tc>
                    <w:tc>
                      <w:tcPr>
                        <w:tcW w:w="438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Pn=18KW；含箱体内部所有元器件；箱体接地；配电箱内部接线；含接线端子；具体参数要求详见系统图</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配电箱电气元件：施耐德、西门子、ABB</w:t>
                        </w:r>
                      </w:p>
                    </w:tc>
                    <w:tc>
                      <w:tcPr>
                        <w:tcW w:w="7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151" w:hRule="atLeast"/>
                    </w:trPr>
                    <w:tc>
                      <w:tcPr>
                        <w:tcW w:w="3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47 </w:t>
                        </w:r>
                      </w:p>
                    </w:tc>
                    <w:tc>
                      <w:tcPr>
                        <w:tcW w:w="112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空调机组配电箱 KT-AHU-S-405</w:t>
                        </w:r>
                      </w:p>
                    </w:tc>
                    <w:tc>
                      <w:tcPr>
                        <w:tcW w:w="438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Pn=24KW；含箱体内部所有元器件；箱体接地；配电箱内部接线；含接线端子；具体参数要求详见系统图</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配电箱电气元件：施耐德、西门子、ABB</w:t>
                        </w:r>
                      </w:p>
                    </w:tc>
                    <w:tc>
                      <w:tcPr>
                        <w:tcW w:w="7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320" w:hRule="atLeast"/>
                    </w:trPr>
                    <w:tc>
                      <w:tcPr>
                        <w:tcW w:w="3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48 </w:t>
                        </w:r>
                      </w:p>
                    </w:tc>
                    <w:tc>
                      <w:tcPr>
                        <w:tcW w:w="112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空调机组配电箱 KT-AHU-S-406、KT-AHU-S-407</w:t>
                        </w:r>
                      </w:p>
                    </w:tc>
                    <w:tc>
                      <w:tcPr>
                        <w:tcW w:w="438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Pn=24KW；含箱体内部所有元器件；箱体接地；配电箱内部接线；含接线端子；具体参数要求详见系统图</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配电箱电气元件：施耐德、西门子、ABB</w:t>
                        </w:r>
                      </w:p>
                    </w:tc>
                    <w:tc>
                      <w:tcPr>
                        <w:tcW w:w="7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2.00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091" w:hRule="atLeast"/>
                    </w:trPr>
                    <w:tc>
                      <w:tcPr>
                        <w:tcW w:w="3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49 </w:t>
                        </w:r>
                      </w:p>
                    </w:tc>
                    <w:tc>
                      <w:tcPr>
                        <w:tcW w:w="112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空调机组配电箱 KT-AHU-S-408-411</w:t>
                        </w:r>
                      </w:p>
                    </w:tc>
                    <w:tc>
                      <w:tcPr>
                        <w:tcW w:w="438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Pn=27KW；含箱体内部所有元器件；箱体接地；配电箱内部接线；含接线端子；具体参数要求详见系统图</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配电箱电气元件：施耐德、西门子、ABB</w:t>
                        </w:r>
                      </w:p>
                    </w:tc>
                    <w:tc>
                      <w:tcPr>
                        <w:tcW w:w="7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4.00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151" w:hRule="atLeast"/>
                    </w:trPr>
                    <w:tc>
                      <w:tcPr>
                        <w:tcW w:w="3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50 </w:t>
                        </w:r>
                      </w:p>
                    </w:tc>
                    <w:tc>
                      <w:tcPr>
                        <w:tcW w:w="112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空调机组配电箱 KT-AHU-S-412</w:t>
                        </w:r>
                      </w:p>
                    </w:tc>
                    <w:tc>
                      <w:tcPr>
                        <w:tcW w:w="438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Pn=29KW；含箱体内部所有元器件；箱体接地；配电箱内部接线；含接线端子；具体参数要求详见系统图</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配电箱电气元件：施耐德、西门子、ABB</w:t>
                        </w:r>
                      </w:p>
                    </w:tc>
                    <w:tc>
                      <w:tcPr>
                        <w:tcW w:w="7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151" w:hRule="atLeast"/>
                    </w:trPr>
                    <w:tc>
                      <w:tcPr>
                        <w:tcW w:w="3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51 </w:t>
                        </w:r>
                      </w:p>
                    </w:tc>
                    <w:tc>
                      <w:tcPr>
                        <w:tcW w:w="112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空调机组配电箱 KT-AHU-S-413</w:t>
                        </w:r>
                      </w:p>
                    </w:tc>
                    <w:tc>
                      <w:tcPr>
                        <w:tcW w:w="438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Pn=60KW；含箱体内部所有元器件；箱体接地；配电箱内部接线；含接线端子；具体参数要求详见系统图</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配电箱电气元件：施耐德、西门子、ABB</w:t>
                        </w:r>
                      </w:p>
                    </w:tc>
                    <w:tc>
                      <w:tcPr>
                        <w:tcW w:w="7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151" w:hRule="atLeast"/>
                    </w:trPr>
                    <w:tc>
                      <w:tcPr>
                        <w:tcW w:w="3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52 </w:t>
                        </w:r>
                      </w:p>
                    </w:tc>
                    <w:tc>
                      <w:tcPr>
                        <w:tcW w:w="112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空调机组配电箱 KT-AHU-S-414</w:t>
                        </w:r>
                      </w:p>
                    </w:tc>
                    <w:tc>
                      <w:tcPr>
                        <w:tcW w:w="438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Pn=47KW；含箱体内部所有元器件；箱体接地；配电箱内部接线；含接线端子；具体参数要求详见系统图</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配电箱电气元件：施耐德、西门子、ABB</w:t>
                        </w:r>
                      </w:p>
                    </w:tc>
                    <w:tc>
                      <w:tcPr>
                        <w:tcW w:w="7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151" w:hRule="atLeast"/>
                    </w:trPr>
                    <w:tc>
                      <w:tcPr>
                        <w:tcW w:w="3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53 </w:t>
                        </w:r>
                      </w:p>
                    </w:tc>
                    <w:tc>
                      <w:tcPr>
                        <w:tcW w:w="112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空调机组配电箱 KT-AHU-S-415</w:t>
                        </w:r>
                      </w:p>
                    </w:tc>
                    <w:tc>
                      <w:tcPr>
                        <w:tcW w:w="438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Pn=41KW；含箱体内部所有元器件；箱体接地；配电箱内部接线；含接线端子；具体参数要求详见系统图</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配电箱电气元件：施耐德、西门子、ABB</w:t>
                        </w:r>
                      </w:p>
                    </w:tc>
                    <w:tc>
                      <w:tcPr>
                        <w:tcW w:w="7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151" w:hRule="atLeast"/>
                    </w:trPr>
                    <w:tc>
                      <w:tcPr>
                        <w:tcW w:w="3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54 </w:t>
                        </w:r>
                      </w:p>
                    </w:tc>
                    <w:tc>
                      <w:tcPr>
                        <w:tcW w:w="112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空调机组配电箱 KT-AHU-S-416</w:t>
                        </w:r>
                      </w:p>
                    </w:tc>
                    <w:tc>
                      <w:tcPr>
                        <w:tcW w:w="438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Pn=45KW；含箱体内部所有元器件；箱体接地；配电箱内部接线；含接线端子；具体参数要求详见系统图</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配电箱电气元件：施耐德、西门子、ABB</w:t>
                        </w:r>
                      </w:p>
                    </w:tc>
                    <w:tc>
                      <w:tcPr>
                        <w:tcW w:w="7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151" w:hRule="atLeast"/>
                    </w:trPr>
                    <w:tc>
                      <w:tcPr>
                        <w:tcW w:w="3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55 </w:t>
                        </w:r>
                      </w:p>
                    </w:tc>
                    <w:tc>
                      <w:tcPr>
                        <w:tcW w:w="112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排风机控制箱5AP-BL-PF</w:t>
                        </w:r>
                      </w:p>
                    </w:tc>
                    <w:tc>
                      <w:tcPr>
                        <w:tcW w:w="438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Pn=10.7kW；含箱体内部所有元器件；箱体接地；配电箱内部接线；含接线端子；具体参数要求详见系统图</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配电箱电气元件：施耐德、西门子、ABB</w:t>
                        </w:r>
                      </w:p>
                    </w:tc>
                    <w:tc>
                      <w:tcPr>
                        <w:tcW w:w="7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320" w:hRule="atLeast"/>
                    </w:trPr>
                    <w:tc>
                      <w:tcPr>
                        <w:tcW w:w="3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56 </w:t>
                        </w:r>
                      </w:p>
                    </w:tc>
                    <w:tc>
                      <w:tcPr>
                        <w:tcW w:w="112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空调机组配电箱 KT-MAU-S-401</w:t>
                        </w:r>
                      </w:p>
                    </w:tc>
                    <w:tc>
                      <w:tcPr>
                        <w:tcW w:w="438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Pn=18KW；含箱体内部所有元器件；箱体接地；配电箱内部接线；含接线端子；具体参数要求详见系统图</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配电箱电气元件：施耐德、西门子、ABB</w:t>
                        </w:r>
                      </w:p>
                    </w:tc>
                    <w:tc>
                      <w:tcPr>
                        <w:tcW w:w="7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320" w:hRule="atLeast"/>
                    </w:trPr>
                    <w:tc>
                      <w:tcPr>
                        <w:tcW w:w="3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57 </w:t>
                        </w:r>
                      </w:p>
                    </w:tc>
                    <w:tc>
                      <w:tcPr>
                        <w:tcW w:w="112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空调机组配电箱 KT-MAU-S-402</w:t>
                        </w:r>
                      </w:p>
                    </w:tc>
                    <w:tc>
                      <w:tcPr>
                        <w:tcW w:w="438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Pn=44KW；含箱体内部所有元器件；箱体接地；配电箱内部接线；含接线端子；具体参数要求详见系统图</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配电箱电气元件：施耐德、西门子、ABB</w:t>
                        </w:r>
                      </w:p>
                    </w:tc>
                    <w:tc>
                      <w:tcPr>
                        <w:tcW w:w="7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208" w:hRule="atLeast"/>
                    </w:trPr>
                    <w:tc>
                      <w:tcPr>
                        <w:tcW w:w="3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58 </w:t>
                        </w:r>
                      </w:p>
                    </w:tc>
                    <w:tc>
                      <w:tcPr>
                        <w:tcW w:w="112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空调机组配电箱 KT-MAU-S-403</w:t>
                        </w:r>
                      </w:p>
                    </w:tc>
                    <w:tc>
                      <w:tcPr>
                        <w:tcW w:w="438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Pn=60KW；含箱体内部所有元器件；箱体接地；配电箱内部接线；含接线端子；具体参数要求详见系统图</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配电箱电气元件：施耐德、西门子、ABB</w:t>
                        </w:r>
                      </w:p>
                    </w:tc>
                    <w:tc>
                      <w:tcPr>
                        <w:tcW w:w="7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208" w:hRule="atLeast"/>
                    </w:trPr>
                    <w:tc>
                      <w:tcPr>
                        <w:tcW w:w="3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59 </w:t>
                        </w:r>
                      </w:p>
                    </w:tc>
                    <w:tc>
                      <w:tcPr>
                        <w:tcW w:w="112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五层屋面手术部冷热源电源配电箱 5AT-LRY1、2</w:t>
                        </w:r>
                      </w:p>
                    </w:tc>
                    <w:tc>
                      <w:tcPr>
                        <w:tcW w:w="438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Pn=202KW，带双切、漏电火灾探测器；含箱体内部所有元器件；箱体接地；配电箱内部接线；含接线端子；具体参数要求详见系统图</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配电箱电气元件：施耐德、西门子、ABB</w:t>
                        </w:r>
                      </w:p>
                    </w:tc>
                    <w:tc>
                      <w:tcPr>
                        <w:tcW w:w="7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2.00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208" w:hRule="atLeast"/>
                    </w:trPr>
                    <w:tc>
                      <w:tcPr>
                        <w:tcW w:w="3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60 </w:t>
                        </w:r>
                      </w:p>
                    </w:tc>
                    <w:tc>
                      <w:tcPr>
                        <w:tcW w:w="112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五层屋面其他净化区域冷热源电源配电箱 5AT-LRY3</w:t>
                        </w:r>
                      </w:p>
                    </w:tc>
                    <w:tc>
                      <w:tcPr>
                        <w:tcW w:w="438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Pn=172KW，带双切、漏电火灾探测器；含箱体内部所有元器件；箱体接地；配电箱内部接线；含接线端子；具体参数要求详见系统图</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配电箱电气元件：施耐德、西门子、ABB</w:t>
                        </w:r>
                      </w:p>
                    </w:tc>
                    <w:tc>
                      <w:tcPr>
                        <w:tcW w:w="7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208" w:hRule="atLeast"/>
                    </w:trPr>
                    <w:tc>
                      <w:tcPr>
                        <w:tcW w:w="3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61 </w:t>
                        </w:r>
                      </w:p>
                    </w:tc>
                    <w:tc>
                      <w:tcPr>
                        <w:tcW w:w="112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五层屋面其他净化区域冷热源电源配电箱 5AT-LRY4</w:t>
                        </w:r>
                      </w:p>
                    </w:tc>
                    <w:tc>
                      <w:tcPr>
                        <w:tcW w:w="438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Pn=173KW，带双切、漏电火灾探测器；含箱体内部所有元器件；箱体接地；配电箱内部接线；含接线端子；具体参数要求详见系统图</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配电箱电气元件：施耐德、西门子、ABB</w:t>
                        </w:r>
                      </w:p>
                    </w:tc>
                    <w:tc>
                      <w:tcPr>
                        <w:tcW w:w="7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208" w:hRule="atLeast"/>
                    </w:trPr>
                    <w:tc>
                      <w:tcPr>
                        <w:tcW w:w="3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62 </w:t>
                        </w:r>
                      </w:p>
                    </w:tc>
                    <w:tc>
                      <w:tcPr>
                        <w:tcW w:w="112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五层屋面其他净化区域冷热源电源配电箱 5AT-JHLRY5</w:t>
                        </w:r>
                      </w:p>
                    </w:tc>
                    <w:tc>
                      <w:tcPr>
                        <w:tcW w:w="438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Pn=160KW，带双切、漏电火灾探测器；含箱体内部所有元器件；箱体接地；配电箱内部接线；含接线端子；具体参数要求详见系统图</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配电箱电气元件：施耐德、西门子、ABB</w:t>
                        </w:r>
                      </w:p>
                    </w:tc>
                    <w:tc>
                      <w:tcPr>
                        <w:tcW w:w="7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208" w:hRule="atLeast"/>
                    </w:trPr>
                    <w:tc>
                      <w:tcPr>
                        <w:tcW w:w="3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63 </w:t>
                        </w:r>
                      </w:p>
                    </w:tc>
                    <w:tc>
                      <w:tcPr>
                        <w:tcW w:w="112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屋面层水泵控制柜 5AP-SB1、3</w:t>
                        </w:r>
                      </w:p>
                    </w:tc>
                    <w:tc>
                      <w:tcPr>
                        <w:tcW w:w="438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Pn=30KW；含箱体内部所有元器件；箱体接地；配电箱内部接线；含接线端子；具体参数要求详见系统图</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配电箱电气元件：施耐德、西门子、ABB</w:t>
                        </w:r>
                      </w:p>
                    </w:tc>
                    <w:tc>
                      <w:tcPr>
                        <w:tcW w:w="7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2.00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208" w:hRule="atLeast"/>
                    </w:trPr>
                    <w:tc>
                      <w:tcPr>
                        <w:tcW w:w="3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64 </w:t>
                        </w:r>
                      </w:p>
                    </w:tc>
                    <w:tc>
                      <w:tcPr>
                        <w:tcW w:w="112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屋面层水泵控制柜 5AP-SB2</w:t>
                        </w:r>
                      </w:p>
                    </w:tc>
                    <w:tc>
                      <w:tcPr>
                        <w:tcW w:w="438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Pn=44KW；含箱体内部所有元器件；箱体接地；配电箱内部接线；含接线端子；具体参数要求详见系统图</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配电箱电气元件：施耐德、西门子、ABB</w:t>
                        </w:r>
                      </w:p>
                    </w:tc>
                    <w:tc>
                      <w:tcPr>
                        <w:tcW w:w="7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208" w:hRule="atLeast"/>
                    </w:trPr>
                    <w:tc>
                      <w:tcPr>
                        <w:tcW w:w="3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65 </w:t>
                        </w:r>
                      </w:p>
                    </w:tc>
                    <w:tc>
                      <w:tcPr>
                        <w:tcW w:w="112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屋面层水泵控制柜 5AP-SB4</w:t>
                        </w:r>
                      </w:p>
                    </w:tc>
                    <w:tc>
                      <w:tcPr>
                        <w:tcW w:w="438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Pn=30KW；含箱体内部所有元器件；箱体接地；配电箱内部接线；含接线端子；具体参数要求详见系统图</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配电箱电气元件：施耐德、西门子、ABB</w:t>
                        </w:r>
                      </w:p>
                    </w:tc>
                    <w:tc>
                      <w:tcPr>
                        <w:tcW w:w="7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208" w:hRule="atLeast"/>
                    </w:trPr>
                    <w:tc>
                      <w:tcPr>
                        <w:tcW w:w="3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66 </w:t>
                        </w:r>
                      </w:p>
                    </w:tc>
                    <w:tc>
                      <w:tcPr>
                        <w:tcW w:w="112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五层屋面层水泵控制柜 5AP-SB5</w:t>
                        </w:r>
                      </w:p>
                    </w:tc>
                    <w:tc>
                      <w:tcPr>
                        <w:tcW w:w="438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Pn=30KW；含箱体内部所有元器件；箱体接地；配电箱内部接线；含接线端子；具体参数要求详见系统图</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配电箱电气元件：施耐德、西门子、ABB</w:t>
                        </w:r>
                      </w:p>
                    </w:tc>
                    <w:tc>
                      <w:tcPr>
                        <w:tcW w:w="7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307" w:hRule="atLeast"/>
                    </w:trPr>
                    <w:tc>
                      <w:tcPr>
                        <w:tcW w:w="3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67 </w:t>
                        </w:r>
                      </w:p>
                    </w:tc>
                    <w:tc>
                      <w:tcPr>
                        <w:tcW w:w="112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五层屋面层水泵控制柜 5AP-SB6</w:t>
                        </w:r>
                      </w:p>
                    </w:tc>
                    <w:tc>
                      <w:tcPr>
                        <w:tcW w:w="438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Pn=22KW；含箱体内部所有元器件；箱体接地；配电箱内部接线；含接线端子；具体参数要求详见系统图</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配电箱电气元件：施耐德、西门子、ABB</w:t>
                        </w:r>
                      </w:p>
                    </w:tc>
                    <w:tc>
                      <w:tcPr>
                        <w:tcW w:w="7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134" w:hRule="atLeast"/>
                    </w:trPr>
                    <w:tc>
                      <w:tcPr>
                        <w:tcW w:w="3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68 </w:t>
                        </w:r>
                      </w:p>
                    </w:tc>
                    <w:tc>
                      <w:tcPr>
                        <w:tcW w:w="112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隔离变压器</w:t>
                        </w:r>
                      </w:p>
                    </w:tc>
                    <w:tc>
                      <w:tcPr>
                        <w:tcW w:w="438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5KVA，含医用单相隔离变压器，仪用电源、6A熔断器,绝缘测试仪，外接报警显示和测试仪，出线回路电器元件等配套附件；满足设计及使用要求</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本德尔、ABB、施耐德</w:t>
                        </w:r>
                      </w:p>
                    </w:tc>
                    <w:tc>
                      <w:tcPr>
                        <w:tcW w:w="7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套</w:t>
                        </w:r>
                      </w:p>
                    </w:tc>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26.00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134" w:hRule="atLeast"/>
                    </w:trPr>
                    <w:tc>
                      <w:tcPr>
                        <w:tcW w:w="3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69 </w:t>
                        </w:r>
                      </w:p>
                    </w:tc>
                    <w:tc>
                      <w:tcPr>
                        <w:tcW w:w="112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隔离变压器</w:t>
                        </w:r>
                      </w:p>
                    </w:tc>
                    <w:tc>
                      <w:tcPr>
                        <w:tcW w:w="438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6.3KVA，含医用单相隔离变压器，仪用电源、6A熔断器,绝缘测试仪，外接报警显示和测试仪，出线回路电器元件等配套附件；满足设计及使用要求</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本德尔、ABB、施耐德</w:t>
                        </w:r>
                      </w:p>
                    </w:tc>
                    <w:tc>
                      <w:tcPr>
                        <w:tcW w:w="7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套</w:t>
                        </w:r>
                      </w:p>
                    </w:tc>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134" w:hRule="atLeast"/>
                    </w:trPr>
                    <w:tc>
                      <w:tcPr>
                        <w:tcW w:w="3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70 </w:t>
                        </w:r>
                      </w:p>
                    </w:tc>
                    <w:tc>
                      <w:tcPr>
                        <w:tcW w:w="112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隔离变压器</w:t>
                        </w:r>
                      </w:p>
                    </w:tc>
                    <w:tc>
                      <w:tcPr>
                        <w:tcW w:w="438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8.0KVA，含医用单相隔离变压器，仪用电源、6A熔断器,绝缘测试仪，外接报警显示和测试仪，出线回路电器元件等配套附件；满足设计及使用要求</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本德尔、ABB、施耐德</w:t>
                        </w:r>
                      </w:p>
                    </w:tc>
                    <w:tc>
                      <w:tcPr>
                        <w:tcW w:w="7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套</w:t>
                        </w:r>
                      </w:p>
                    </w:tc>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22.00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134" w:hRule="atLeast"/>
                    </w:trPr>
                    <w:tc>
                      <w:tcPr>
                        <w:tcW w:w="3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71 </w:t>
                        </w:r>
                      </w:p>
                    </w:tc>
                    <w:tc>
                      <w:tcPr>
                        <w:tcW w:w="112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隔离变压器</w:t>
                        </w:r>
                      </w:p>
                    </w:tc>
                    <w:tc>
                      <w:tcPr>
                        <w:tcW w:w="4384" w:type="dxa"/>
                        <w:tcBorders>
                          <w:top w:val="single" w:color="000000" w:sz="4" w:space="0"/>
                          <w:left w:val="single" w:color="000000" w:sz="4" w:space="0"/>
                          <w:bottom w:val="nil"/>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10KVA，含医用单相隔离变压器，仪用电源、6A熔断器,绝缘测试仪，外接报警显示和测试仪，出线回路电器元件等配套附件；满足设计及使用要求</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本德尔、ABB、施耐德</w:t>
                        </w:r>
                      </w:p>
                    </w:tc>
                    <w:tc>
                      <w:tcPr>
                        <w:tcW w:w="713" w:type="dxa"/>
                        <w:tcBorders>
                          <w:top w:val="single" w:color="000000" w:sz="4" w:space="0"/>
                          <w:left w:val="single" w:color="000000" w:sz="4" w:space="0"/>
                          <w:bottom w:val="nil"/>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套</w:t>
                        </w:r>
                      </w:p>
                    </w:tc>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19.00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134" w:hRule="atLeast"/>
                    </w:trPr>
                    <w:tc>
                      <w:tcPr>
                        <w:tcW w:w="3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72 </w:t>
                        </w:r>
                      </w:p>
                    </w:tc>
                    <w:tc>
                      <w:tcPr>
                        <w:tcW w:w="112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UPS不间断电源</w:t>
                        </w:r>
                      </w:p>
                    </w:tc>
                    <w:tc>
                      <w:tcPr>
                        <w:tcW w:w="438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在线式UPS模块机，140kVA (7*20KVA)，作为发电机组启动切换时间用，供电时间不小于</w:t>
                        </w:r>
                        <w:r>
                          <w:rPr>
                            <w:rFonts w:ascii="宋体" w:hAnsi="宋体" w:cs="宋体"/>
                            <w:color w:val="auto"/>
                            <w:sz w:val="20"/>
                            <w:szCs w:val="20"/>
                            <w:highlight w:val="none"/>
                            <w:lang w:bidi="ar"/>
                          </w:rPr>
                          <w:t>30min</w:t>
                        </w:r>
                        <w:r>
                          <w:rPr>
                            <w:rFonts w:hint="eastAsia" w:ascii="宋体" w:hAnsi="宋体" w:cs="宋体"/>
                            <w:color w:val="auto"/>
                            <w:sz w:val="20"/>
                            <w:szCs w:val="20"/>
                            <w:highlight w:val="none"/>
                            <w:lang w:bidi="ar"/>
                          </w:rPr>
                          <w:t>（可扩容），含配套电池及电池柜；应急时间</w:t>
                        </w:r>
                        <w:r>
                          <w:rPr>
                            <w:rFonts w:ascii="宋体" w:hAnsi="宋体" w:cs="宋体"/>
                            <w:color w:val="auto"/>
                            <w:sz w:val="20"/>
                            <w:szCs w:val="20"/>
                            <w:highlight w:val="none"/>
                            <w:lang w:bidi="ar"/>
                          </w:rPr>
                          <w:t>30</w:t>
                        </w:r>
                        <w:r>
                          <w:rPr>
                            <w:rFonts w:hint="eastAsia" w:ascii="宋体" w:hAnsi="宋体" w:cs="宋体"/>
                            <w:color w:val="auto"/>
                            <w:sz w:val="20"/>
                            <w:szCs w:val="20"/>
                            <w:highlight w:val="none"/>
                            <w:lang w:bidi="ar"/>
                          </w:rPr>
                          <w:t>分钟（可扩容）；调试；满足设计及使用要求</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易事特、施耐德、艾默生</w:t>
                        </w:r>
                      </w:p>
                    </w:tc>
                    <w:tc>
                      <w:tcPr>
                        <w:tcW w:w="7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套</w:t>
                        </w:r>
                      </w:p>
                    </w:tc>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134" w:hRule="atLeast"/>
                    </w:trPr>
                    <w:tc>
                      <w:tcPr>
                        <w:tcW w:w="3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73 </w:t>
                        </w:r>
                      </w:p>
                    </w:tc>
                    <w:tc>
                      <w:tcPr>
                        <w:tcW w:w="112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UPS不间断电源</w:t>
                        </w:r>
                      </w:p>
                    </w:tc>
                    <w:tc>
                      <w:tcPr>
                        <w:tcW w:w="438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在线式UPS模块机 120kVA (6*20KVA)，作为发电机组启动切换时间用，供电时间不小于30min（可扩容），含配套电池及电池柜；应急时间30分钟（可扩容）；调试；满足设计及使用要求</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易事特、施耐德、艾默生</w:t>
                        </w:r>
                      </w:p>
                    </w:tc>
                    <w:tc>
                      <w:tcPr>
                        <w:tcW w:w="7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套</w:t>
                        </w:r>
                      </w:p>
                    </w:tc>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134" w:hRule="atLeast"/>
                    </w:trPr>
                    <w:tc>
                      <w:tcPr>
                        <w:tcW w:w="3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74 </w:t>
                        </w:r>
                      </w:p>
                    </w:tc>
                    <w:tc>
                      <w:tcPr>
                        <w:tcW w:w="112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UPS不间断电源</w:t>
                        </w:r>
                      </w:p>
                    </w:tc>
                    <w:tc>
                      <w:tcPr>
                        <w:tcW w:w="438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在线式UPS 50kVA，作为发电机组启动切换时间用，供电时间不小于30min（可扩容），含配套电池及电池柜；应急时间30分钟（可扩容）；调试；满足设计及使用要求</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易事特、施耐德、艾默生</w:t>
                        </w:r>
                      </w:p>
                    </w:tc>
                    <w:tc>
                      <w:tcPr>
                        <w:tcW w:w="7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套</w:t>
                        </w:r>
                      </w:p>
                    </w:tc>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134" w:hRule="atLeast"/>
                    </w:trPr>
                    <w:tc>
                      <w:tcPr>
                        <w:tcW w:w="3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75 </w:t>
                        </w:r>
                      </w:p>
                    </w:tc>
                    <w:tc>
                      <w:tcPr>
                        <w:tcW w:w="112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UPS不间断电源</w:t>
                        </w:r>
                      </w:p>
                    </w:tc>
                    <w:tc>
                      <w:tcPr>
                        <w:tcW w:w="438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三进单出，15KVA/</w:t>
                        </w:r>
                        <w:r>
                          <w:rPr>
                            <w:rFonts w:ascii="宋体" w:hAnsi="宋体" w:cs="宋体"/>
                            <w:color w:val="auto"/>
                            <w:sz w:val="20"/>
                            <w:szCs w:val="20"/>
                            <w:highlight w:val="none"/>
                            <w:lang w:bidi="ar"/>
                          </w:rPr>
                          <w:t>30</w:t>
                        </w:r>
                        <w:r>
                          <w:rPr>
                            <w:rFonts w:hint="eastAsia" w:ascii="宋体" w:hAnsi="宋体" w:cs="宋体"/>
                            <w:color w:val="auto"/>
                            <w:sz w:val="20"/>
                            <w:szCs w:val="20"/>
                            <w:highlight w:val="none"/>
                            <w:lang w:bidi="ar"/>
                          </w:rPr>
                          <w:t>Min（可扩容），含配套电池及电池柜；应急时间</w:t>
                        </w:r>
                        <w:r>
                          <w:rPr>
                            <w:rFonts w:ascii="宋体" w:hAnsi="宋体" w:cs="宋体"/>
                            <w:color w:val="auto"/>
                            <w:sz w:val="20"/>
                            <w:szCs w:val="20"/>
                            <w:highlight w:val="none"/>
                            <w:lang w:bidi="ar"/>
                          </w:rPr>
                          <w:t>30</w:t>
                        </w:r>
                        <w:r>
                          <w:rPr>
                            <w:rFonts w:hint="eastAsia" w:ascii="宋体" w:hAnsi="宋体" w:cs="宋体"/>
                            <w:color w:val="auto"/>
                            <w:sz w:val="20"/>
                            <w:szCs w:val="20"/>
                            <w:highlight w:val="none"/>
                            <w:lang w:bidi="ar"/>
                          </w:rPr>
                          <w:t>分钟（可扩容）；调试；满足设计及使用要求</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易事特、施耐德、艾默生</w:t>
                        </w:r>
                      </w:p>
                    </w:tc>
                    <w:tc>
                      <w:tcPr>
                        <w:tcW w:w="7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套</w:t>
                        </w:r>
                      </w:p>
                    </w:tc>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2.00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134" w:hRule="atLeast"/>
                    </w:trPr>
                    <w:tc>
                      <w:tcPr>
                        <w:tcW w:w="3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76 </w:t>
                        </w:r>
                      </w:p>
                    </w:tc>
                    <w:tc>
                      <w:tcPr>
                        <w:tcW w:w="112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UPS不间断电源</w:t>
                        </w:r>
                      </w:p>
                    </w:tc>
                    <w:tc>
                      <w:tcPr>
                        <w:tcW w:w="438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三进三出，20KVA/</w:t>
                        </w:r>
                        <w:r>
                          <w:rPr>
                            <w:rFonts w:ascii="宋体" w:hAnsi="宋体" w:cs="宋体"/>
                            <w:color w:val="auto"/>
                            <w:sz w:val="20"/>
                            <w:szCs w:val="20"/>
                            <w:highlight w:val="none"/>
                            <w:lang w:bidi="ar"/>
                          </w:rPr>
                          <w:t>30M</w:t>
                        </w:r>
                        <w:r>
                          <w:rPr>
                            <w:rFonts w:hint="eastAsia" w:ascii="宋体" w:hAnsi="宋体" w:cs="宋体"/>
                            <w:color w:val="auto"/>
                            <w:sz w:val="20"/>
                            <w:szCs w:val="20"/>
                            <w:highlight w:val="none"/>
                            <w:lang w:bidi="ar"/>
                          </w:rPr>
                          <w:t>in（可扩容），含配套电池及电池柜；应急时间</w:t>
                        </w:r>
                        <w:r>
                          <w:rPr>
                            <w:rFonts w:ascii="宋体" w:hAnsi="宋体" w:cs="宋体"/>
                            <w:color w:val="auto"/>
                            <w:sz w:val="20"/>
                            <w:szCs w:val="20"/>
                            <w:highlight w:val="none"/>
                            <w:lang w:bidi="ar"/>
                          </w:rPr>
                          <w:t>30</w:t>
                        </w:r>
                        <w:r>
                          <w:rPr>
                            <w:rFonts w:hint="eastAsia" w:ascii="宋体" w:hAnsi="宋体" w:cs="宋体"/>
                            <w:color w:val="auto"/>
                            <w:sz w:val="20"/>
                            <w:szCs w:val="20"/>
                            <w:highlight w:val="none"/>
                            <w:lang w:bidi="ar"/>
                          </w:rPr>
                          <w:t>分钟（可扩容）；调试；满足设计及使用要求</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易事特、施耐德、艾默生</w:t>
                        </w:r>
                      </w:p>
                    </w:tc>
                    <w:tc>
                      <w:tcPr>
                        <w:tcW w:w="7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套</w:t>
                        </w:r>
                      </w:p>
                    </w:tc>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134" w:hRule="atLeast"/>
                    </w:trPr>
                    <w:tc>
                      <w:tcPr>
                        <w:tcW w:w="3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77 </w:t>
                        </w:r>
                      </w:p>
                    </w:tc>
                    <w:tc>
                      <w:tcPr>
                        <w:tcW w:w="112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UPS不间断电源</w:t>
                        </w:r>
                      </w:p>
                    </w:tc>
                    <w:tc>
                      <w:tcPr>
                        <w:tcW w:w="438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三进单出，10KVA/30Min（可扩容），含配套电池及电池柜；应急时间30分钟（可扩容）；调试；满足设计及使用要求</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易事特、施耐德、艾默生</w:t>
                        </w:r>
                      </w:p>
                    </w:tc>
                    <w:tc>
                      <w:tcPr>
                        <w:tcW w:w="7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套</w:t>
                        </w:r>
                      </w:p>
                    </w:tc>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2.00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134" w:hRule="atLeast"/>
                    </w:trPr>
                    <w:tc>
                      <w:tcPr>
                        <w:tcW w:w="3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78 </w:t>
                        </w:r>
                      </w:p>
                    </w:tc>
                    <w:tc>
                      <w:tcPr>
                        <w:tcW w:w="112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局部等电位端子箱</w:t>
                        </w:r>
                      </w:p>
                    </w:tc>
                    <w:tc>
                      <w:tcPr>
                        <w:tcW w:w="438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局部等电位箱安装；含接地跨接线安装</w:t>
                        </w:r>
                      </w:p>
                    </w:tc>
                    <w:tc>
                      <w:tcPr>
                        <w:tcW w:w="11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7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35.00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134" w:hRule="atLeast"/>
                    </w:trPr>
                    <w:tc>
                      <w:tcPr>
                        <w:tcW w:w="3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79 </w:t>
                        </w:r>
                      </w:p>
                    </w:tc>
                    <w:tc>
                      <w:tcPr>
                        <w:tcW w:w="112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总等电位端子箱</w:t>
                        </w:r>
                      </w:p>
                    </w:tc>
                    <w:tc>
                      <w:tcPr>
                        <w:tcW w:w="438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总等电位箱安装；含接地跨接线安装</w:t>
                        </w:r>
                      </w:p>
                    </w:tc>
                    <w:tc>
                      <w:tcPr>
                        <w:tcW w:w="11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7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480" w:hRule="atLeast"/>
                    </w:trPr>
                    <w:tc>
                      <w:tcPr>
                        <w:tcW w:w="3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二</w:t>
                        </w:r>
                      </w:p>
                    </w:tc>
                    <w:tc>
                      <w:tcPr>
                        <w:tcW w:w="112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b/>
                            <w:bCs/>
                            <w:color w:val="auto"/>
                            <w:sz w:val="20"/>
                            <w:szCs w:val="20"/>
                            <w:highlight w:val="none"/>
                          </w:rPr>
                        </w:pPr>
                        <w:r>
                          <w:rPr>
                            <w:rFonts w:hint="eastAsia" w:ascii="宋体" w:hAnsi="宋体" w:cs="宋体"/>
                            <w:b/>
                            <w:bCs/>
                            <w:color w:val="auto"/>
                            <w:sz w:val="20"/>
                            <w:szCs w:val="20"/>
                            <w:highlight w:val="none"/>
                            <w:lang w:bidi="ar"/>
                          </w:rPr>
                          <w:t>开关、插座及灯具</w:t>
                        </w:r>
                      </w:p>
                    </w:tc>
                    <w:tc>
                      <w:tcPr>
                        <w:tcW w:w="438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b/>
                            <w:bCs/>
                            <w:color w:val="auto"/>
                            <w:sz w:val="20"/>
                            <w:szCs w:val="20"/>
                            <w:highlight w:val="none"/>
                          </w:rPr>
                        </w:pP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bCs/>
                            <w:color w:val="auto"/>
                            <w:sz w:val="20"/>
                            <w:szCs w:val="20"/>
                            <w:highlight w:val="none"/>
                          </w:rPr>
                        </w:pPr>
                      </w:p>
                    </w:tc>
                    <w:tc>
                      <w:tcPr>
                        <w:tcW w:w="71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bCs/>
                            <w:color w:val="auto"/>
                            <w:sz w:val="20"/>
                            <w:szCs w:val="20"/>
                            <w:highlight w:val="none"/>
                          </w:rPr>
                        </w:pPr>
                      </w:p>
                    </w:tc>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 w:val="20"/>
                            <w:szCs w:val="20"/>
                            <w:highlight w:val="none"/>
                          </w:rPr>
                        </w:pP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270" w:hRule="atLeast"/>
                    </w:trPr>
                    <w:tc>
                      <w:tcPr>
                        <w:tcW w:w="3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 </w:t>
                        </w:r>
                      </w:p>
                    </w:tc>
                    <w:tc>
                      <w:tcPr>
                        <w:tcW w:w="112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单联单控开关</w:t>
                        </w:r>
                      </w:p>
                    </w:tc>
                    <w:tc>
                      <w:tcPr>
                        <w:tcW w:w="438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250V 10A</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TCL、罗格朗、公牛</w:t>
                        </w:r>
                      </w:p>
                    </w:tc>
                    <w:tc>
                      <w:tcPr>
                        <w:tcW w:w="7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59.00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270" w:hRule="atLeast"/>
                    </w:trPr>
                    <w:tc>
                      <w:tcPr>
                        <w:tcW w:w="3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 </w:t>
                        </w:r>
                      </w:p>
                    </w:tc>
                    <w:tc>
                      <w:tcPr>
                        <w:tcW w:w="112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单联双控开关</w:t>
                        </w:r>
                      </w:p>
                    </w:tc>
                    <w:tc>
                      <w:tcPr>
                        <w:tcW w:w="438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250V 10A</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TCL、罗格朗、公牛</w:t>
                        </w:r>
                      </w:p>
                    </w:tc>
                    <w:tc>
                      <w:tcPr>
                        <w:tcW w:w="7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4.00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270" w:hRule="atLeast"/>
                    </w:trPr>
                    <w:tc>
                      <w:tcPr>
                        <w:tcW w:w="3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3 </w:t>
                        </w:r>
                      </w:p>
                    </w:tc>
                    <w:tc>
                      <w:tcPr>
                        <w:tcW w:w="112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双联单控开关</w:t>
                        </w:r>
                      </w:p>
                    </w:tc>
                    <w:tc>
                      <w:tcPr>
                        <w:tcW w:w="438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250V 10A</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TCL、罗格朗、公牛</w:t>
                        </w:r>
                      </w:p>
                    </w:tc>
                    <w:tc>
                      <w:tcPr>
                        <w:tcW w:w="7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70.00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270" w:hRule="atLeast"/>
                    </w:trPr>
                    <w:tc>
                      <w:tcPr>
                        <w:tcW w:w="3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4 </w:t>
                        </w:r>
                      </w:p>
                    </w:tc>
                    <w:tc>
                      <w:tcPr>
                        <w:tcW w:w="112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三联单控开关</w:t>
                        </w:r>
                      </w:p>
                    </w:tc>
                    <w:tc>
                      <w:tcPr>
                        <w:tcW w:w="438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250V 10A</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TCL、罗格朗、公牛</w:t>
                        </w:r>
                      </w:p>
                    </w:tc>
                    <w:tc>
                      <w:tcPr>
                        <w:tcW w:w="7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10.00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270" w:hRule="atLeast"/>
                    </w:trPr>
                    <w:tc>
                      <w:tcPr>
                        <w:tcW w:w="3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5 </w:t>
                        </w:r>
                      </w:p>
                    </w:tc>
                    <w:tc>
                      <w:tcPr>
                        <w:tcW w:w="112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四联单控开关</w:t>
                        </w:r>
                      </w:p>
                    </w:tc>
                    <w:tc>
                      <w:tcPr>
                        <w:tcW w:w="438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250V 10A</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TCL、罗格朗、公牛</w:t>
                        </w:r>
                      </w:p>
                    </w:tc>
                    <w:tc>
                      <w:tcPr>
                        <w:tcW w:w="7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270" w:hRule="atLeast"/>
                    </w:trPr>
                    <w:tc>
                      <w:tcPr>
                        <w:tcW w:w="3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6 </w:t>
                        </w:r>
                      </w:p>
                    </w:tc>
                    <w:tc>
                      <w:tcPr>
                        <w:tcW w:w="112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双联双控开关</w:t>
                        </w:r>
                      </w:p>
                    </w:tc>
                    <w:tc>
                      <w:tcPr>
                        <w:tcW w:w="438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250V 10A</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TCL、罗格朗、公牛</w:t>
                        </w:r>
                      </w:p>
                    </w:tc>
                    <w:tc>
                      <w:tcPr>
                        <w:tcW w:w="7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32.00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270" w:hRule="atLeast"/>
                    </w:trPr>
                    <w:tc>
                      <w:tcPr>
                        <w:tcW w:w="3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7 </w:t>
                        </w:r>
                      </w:p>
                    </w:tc>
                    <w:tc>
                      <w:tcPr>
                        <w:tcW w:w="112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单联防爆开关</w:t>
                        </w:r>
                      </w:p>
                    </w:tc>
                    <w:tc>
                      <w:tcPr>
                        <w:tcW w:w="438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250V 10A</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TCL、罗格朗、公牛</w:t>
                        </w:r>
                      </w:p>
                    </w:tc>
                    <w:tc>
                      <w:tcPr>
                        <w:tcW w:w="7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270" w:hRule="atLeast"/>
                    </w:trPr>
                    <w:tc>
                      <w:tcPr>
                        <w:tcW w:w="3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8 </w:t>
                        </w:r>
                      </w:p>
                    </w:tc>
                    <w:tc>
                      <w:tcPr>
                        <w:tcW w:w="112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定时开关</w:t>
                        </w:r>
                      </w:p>
                    </w:tc>
                    <w:tc>
                      <w:tcPr>
                        <w:tcW w:w="438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紫外线灯</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TCL、罗格朗、公牛</w:t>
                        </w:r>
                      </w:p>
                    </w:tc>
                    <w:tc>
                      <w:tcPr>
                        <w:tcW w:w="7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34.00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270" w:hRule="atLeast"/>
                    </w:trPr>
                    <w:tc>
                      <w:tcPr>
                        <w:tcW w:w="3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9 </w:t>
                        </w:r>
                      </w:p>
                    </w:tc>
                    <w:tc>
                      <w:tcPr>
                        <w:tcW w:w="112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单相二三极暗插座</w:t>
                        </w:r>
                      </w:p>
                    </w:tc>
                    <w:tc>
                      <w:tcPr>
                        <w:tcW w:w="438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250V 10A</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TCL、罗格朗、公牛</w:t>
                        </w:r>
                      </w:p>
                    </w:tc>
                    <w:tc>
                      <w:tcPr>
                        <w:tcW w:w="7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768.00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270" w:hRule="atLeast"/>
                    </w:trPr>
                    <w:tc>
                      <w:tcPr>
                        <w:tcW w:w="3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 </w:t>
                        </w:r>
                      </w:p>
                    </w:tc>
                    <w:tc>
                      <w:tcPr>
                        <w:tcW w:w="112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单相二三极暗插座</w:t>
                        </w:r>
                      </w:p>
                    </w:tc>
                    <w:tc>
                      <w:tcPr>
                        <w:tcW w:w="438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250V 16A</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TCL、罗格朗、公牛</w:t>
                        </w:r>
                      </w:p>
                    </w:tc>
                    <w:tc>
                      <w:tcPr>
                        <w:tcW w:w="7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36.00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270" w:hRule="atLeast"/>
                    </w:trPr>
                    <w:tc>
                      <w:tcPr>
                        <w:tcW w:w="3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11 </w:t>
                        </w:r>
                      </w:p>
                    </w:tc>
                    <w:tc>
                      <w:tcPr>
                        <w:tcW w:w="112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防水单相二三极暗插座</w:t>
                        </w:r>
                      </w:p>
                    </w:tc>
                    <w:tc>
                      <w:tcPr>
                        <w:tcW w:w="438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250V 10A</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TCL、罗格朗、公牛</w:t>
                        </w:r>
                      </w:p>
                    </w:tc>
                    <w:tc>
                      <w:tcPr>
                        <w:tcW w:w="7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19.00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270" w:hRule="atLeast"/>
                    </w:trPr>
                    <w:tc>
                      <w:tcPr>
                        <w:tcW w:w="3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12 </w:t>
                        </w:r>
                      </w:p>
                    </w:tc>
                    <w:tc>
                      <w:tcPr>
                        <w:tcW w:w="112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地插座</w:t>
                        </w:r>
                      </w:p>
                    </w:tc>
                    <w:tc>
                      <w:tcPr>
                        <w:tcW w:w="438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防水型,250V 10A</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TCL、罗格朗、公牛</w:t>
                        </w:r>
                      </w:p>
                    </w:tc>
                    <w:tc>
                      <w:tcPr>
                        <w:tcW w:w="7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72.00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270" w:hRule="atLeast"/>
                    </w:trPr>
                    <w:tc>
                      <w:tcPr>
                        <w:tcW w:w="3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13 </w:t>
                        </w:r>
                      </w:p>
                    </w:tc>
                    <w:tc>
                      <w:tcPr>
                        <w:tcW w:w="112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设备带插座组</w:t>
                        </w:r>
                      </w:p>
                    </w:tc>
                    <w:tc>
                      <w:tcPr>
                        <w:tcW w:w="438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250V,1*16A+3*10A</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TCL、罗格朗、公牛</w:t>
                        </w:r>
                      </w:p>
                    </w:tc>
                    <w:tc>
                      <w:tcPr>
                        <w:tcW w:w="7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44.00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480" w:hRule="atLeast"/>
                    </w:trPr>
                    <w:tc>
                      <w:tcPr>
                        <w:tcW w:w="3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14 </w:t>
                        </w:r>
                      </w:p>
                    </w:tc>
                    <w:tc>
                      <w:tcPr>
                        <w:tcW w:w="112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医用净化LED平板灯</w:t>
                        </w:r>
                      </w:p>
                    </w:tc>
                    <w:tc>
                      <w:tcPr>
                        <w:tcW w:w="438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52w,1200x600,含光源,吸顶安装</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佛山照明、君硕、云镜、佳静</w:t>
                        </w:r>
                      </w:p>
                    </w:tc>
                    <w:tc>
                      <w:tcPr>
                        <w:tcW w:w="7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套</w:t>
                        </w:r>
                      </w:p>
                    </w:tc>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168.00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480" w:hRule="atLeast"/>
                    </w:trPr>
                    <w:tc>
                      <w:tcPr>
                        <w:tcW w:w="3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15 </w:t>
                        </w:r>
                      </w:p>
                    </w:tc>
                    <w:tc>
                      <w:tcPr>
                        <w:tcW w:w="112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医用净化LED平板灯</w:t>
                        </w:r>
                      </w:p>
                    </w:tc>
                    <w:tc>
                      <w:tcPr>
                        <w:tcW w:w="438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40w,1200x300,含光源,吸顶安装</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佛山照明、君硕、云镜、佳静</w:t>
                        </w:r>
                      </w:p>
                    </w:tc>
                    <w:tc>
                      <w:tcPr>
                        <w:tcW w:w="7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套</w:t>
                        </w:r>
                      </w:p>
                    </w:tc>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282.00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960" w:hRule="atLeast"/>
                    </w:trPr>
                    <w:tc>
                      <w:tcPr>
                        <w:tcW w:w="3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16 </w:t>
                        </w:r>
                      </w:p>
                    </w:tc>
                    <w:tc>
                      <w:tcPr>
                        <w:tcW w:w="112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医用净化LED平板灯（带应急电源）</w:t>
                        </w:r>
                      </w:p>
                    </w:tc>
                    <w:tc>
                      <w:tcPr>
                        <w:tcW w:w="438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40w,1200x300，外置式应急电源,全功率60min,含光源,吸顶安装</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佛山照明、君硕、云镜、佳静</w:t>
                        </w:r>
                      </w:p>
                    </w:tc>
                    <w:tc>
                      <w:tcPr>
                        <w:tcW w:w="7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套</w:t>
                        </w:r>
                      </w:p>
                    </w:tc>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116.00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480" w:hRule="atLeast"/>
                    </w:trPr>
                    <w:tc>
                      <w:tcPr>
                        <w:tcW w:w="3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17 </w:t>
                        </w:r>
                      </w:p>
                    </w:tc>
                    <w:tc>
                      <w:tcPr>
                        <w:tcW w:w="112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医用净化LED平板灯</w:t>
                        </w:r>
                      </w:p>
                    </w:tc>
                    <w:tc>
                      <w:tcPr>
                        <w:tcW w:w="438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40w,600x600,含光源,吸顶安装</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佛山照明、君硕、云镜、佳静</w:t>
                        </w:r>
                      </w:p>
                    </w:tc>
                    <w:tc>
                      <w:tcPr>
                        <w:tcW w:w="7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套</w:t>
                        </w:r>
                      </w:p>
                    </w:tc>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128.00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480" w:hRule="atLeast"/>
                    </w:trPr>
                    <w:tc>
                      <w:tcPr>
                        <w:tcW w:w="3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18 </w:t>
                        </w:r>
                      </w:p>
                    </w:tc>
                    <w:tc>
                      <w:tcPr>
                        <w:tcW w:w="112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医用净化LED平板灯</w:t>
                        </w:r>
                      </w:p>
                    </w:tc>
                    <w:tc>
                      <w:tcPr>
                        <w:tcW w:w="438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25w,600x300,含光源,吸顶安装</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佛山照明、君硕、云镜、佳静</w:t>
                        </w:r>
                      </w:p>
                    </w:tc>
                    <w:tc>
                      <w:tcPr>
                        <w:tcW w:w="7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套</w:t>
                        </w:r>
                      </w:p>
                    </w:tc>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21.00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480" w:hRule="atLeast"/>
                    </w:trPr>
                    <w:tc>
                      <w:tcPr>
                        <w:tcW w:w="3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19 </w:t>
                        </w:r>
                      </w:p>
                    </w:tc>
                    <w:tc>
                      <w:tcPr>
                        <w:tcW w:w="112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双管荧光灯</w:t>
                        </w:r>
                      </w:p>
                    </w:tc>
                    <w:tc>
                      <w:tcPr>
                        <w:tcW w:w="438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2x28W,含光源,吸顶安装</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佛山照明、君硕、云镜、佳静</w:t>
                        </w:r>
                      </w:p>
                    </w:tc>
                    <w:tc>
                      <w:tcPr>
                        <w:tcW w:w="7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套</w:t>
                        </w:r>
                      </w:p>
                    </w:tc>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3.00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480" w:hRule="atLeast"/>
                    </w:trPr>
                    <w:tc>
                      <w:tcPr>
                        <w:tcW w:w="3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20 </w:t>
                        </w:r>
                      </w:p>
                    </w:tc>
                    <w:tc>
                      <w:tcPr>
                        <w:tcW w:w="112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一体化LED筒灯</w:t>
                        </w:r>
                      </w:p>
                    </w:tc>
                    <w:tc>
                      <w:tcPr>
                        <w:tcW w:w="438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9w,含光源,嵌顶安装</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佛山照明、君硕、云镜、佳静</w:t>
                        </w:r>
                      </w:p>
                    </w:tc>
                    <w:tc>
                      <w:tcPr>
                        <w:tcW w:w="7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套</w:t>
                        </w:r>
                      </w:p>
                    </w:tc>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2.00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480" w:hRule="atLeast"/>
                    </w:trPr>
                    <w:tc>
                      <w:tcPr>
                        <w:tcW w:w="3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21 </w:t>
                        </w:r>
                      </w:p>
                    </w:tc>
                    <w:tc>
                      <w:tcPr>
                        <w:tcW w:w="112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一体化LED筒灯</w:t>
                        </w:r>
                      </w:p>
                    </w:tc>
                    <w:tc>
                      <w:tcPr>
                        <w:tcW w:w="438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7w,含光源,嵌顶安装</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佛山照明、君硕、云镜、佳静</w:t>
                        </w:r>
                      </w:p>
                    </w:tc>
                    <w:tc>
                      <w:tcPr>
                        <w:tcW w:w="7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套</w:t>
                        </w:r>
                      </w:p>
                    </w:tc>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5.00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480" w:hRule="atLeast"/>
                    </w:trPr>
                    <w:tc>
                      <w:tcPr>
                        <w:tcW w:w="3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22 </w:t>
                        </w:r>
                      </w:p>
                    </w:tc>
                    <w:tc>
                      <w:tcPr>
                        <w:tcW w:w="112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防爆灯</w:t>
                        </w:r>
                      </w:p>
                    </w:tc>
                    <w:tc>
                      <w:tcPr>
                        <w:tcW w:w="438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15W,含光源,嵌顶安装</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佛山照明、君硕、云镜、佳静</w:t>
                        </w:r>
                      </w:p>
                    </w:tc>
                    <w:tc>
                      <w:tcPr>
                        <w:tcW w:w="7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套</w:t>
                        </w:r>
                      </w:p>
                    </w:tc>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13.00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480" w:hRule="atLeast"/>
                    </w:trPr>
                    <w:tc>
                      <w:tcPr>
                        <w:tcW w:w="3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23 </w:t>
                        </w:r>
                      </w:p>
                    </w:tc>
                    <w:tc>
                      <w:tcPr>
                        <w:tcW w:w="112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紫外线灯</w:t>
                        </w:r>
                      </w:p>
                    </w:tc>
                    <w:tc>
                      <w:tcPr>
                        <w:tcW w:w="438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18W,含光源,吸顶安装</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佛山照明、君硕、云镜、佳静</w:t>
                        </w:r>
                      </w:p>
                    </w:tc>
                    <w:tc>
                      <w:tcPr>
                        <w:tcW w:w="7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套</w:t>
                        </w:r>
                      </w:p>
                    </w:tc>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12.00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480" w:hRule="atLeast"/>
                    </w:trPr>
                    <w:tc>
                      <w:tcPr>
                        <w:tcW w:w="3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24 </w:t>
                        </w:r>
                      </w:p>
                    </w:tc>
                    <w:tc>
                      <w:tcPr>
                        <w:tcW w:w="112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紫外线灯</w:t>
                        </w:r>
                      </w:p>
                    </w:tc>
                    <w:tc>
                      <w:tcPr>
                        <w:tcW w:w="438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40W,含光源,吸顶安装</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佛山照明、君硕、云镜、佳静</w:t>
                        </w:r>
                      </w:p>
                    </w:tc>
                    <w:tc>
                      <w:tcPr>
                        <w:tcW w:w="7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套</w:t>
                        </w:r>
                      </w:p>
                    </w:tc>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91.00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480" w:hRule="atLeast"/>
                    </w:trPr>
                    <w:tc>
                      <w:tcPr>
                        <w:tcW w:w="3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25 </w:t>
                        </w:r>
                      </w:p>
                    </w:tc>
                    <w:tc>
                      <w:tcPr>
                        <w:tcW w:w="112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工作警示灯</w:t>
                        </w:r>
                        <w:r>
                          <w:rPr>
                            <w:rFonts w:ascii="宋体" w:hAnsi="宋体" w:cs="宋体"/>
                            <w:color w:val="auto"/>
                            <w:sz w:val="20"/>
                            <w:szCs w:val="20"/>
                            <w:highlight w:val="none"/>
                            <w:lang w:bidi="ar"/>
                          </w:rPr>
                          <w:t>/术中指示灯</w:t>
                        </w:r>
                      </w:p>
                    </w:tc>
                    <w:tc>
                      <w:tcPr>
                        <w:tcW w:w="438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含光源,嵌壁安装</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佛山照明、君硕、云镜、佳静</w:t>
                        </w:r>
                      </w:p>
                    </w:tc>
                    <w:tc>
                      <w:tcPr>
                        <w:tcW w:w="7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套</w:t>
                        </w:r>
                      </w:p>
                    </w:tc>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21.00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480" w:hRule="atLeast"/>
                    </w:trPr>
                    <w:tc>
                      <w:tcPr>
                        <w:tcW w:w="3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26 </w:t>
                        </w:r>
                      </w:p>
                    </w:tc>
                    <w:tc>
                      <w:tcPr>
                        <w:tcW w:w="112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病房地脚灯</w:t>
                        </w:r>
                      </w:p>
                    </w:tc>
                    <w:tc>
                      <w:tcPr>
                        <w:tcW w:w="438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3W,含光源,嵌壁安装</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佛山照明、君硕、云镜、佳静</w:t>
                        </w:r>
                      </w:p>
                    </w:tc>
                    <w:tc>
                      <w:tcPr>
                        <w:tcW w:w="7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套</w:t>
                        </w:r>
                      </w:p>
                    </w:tc>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3.00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720" w:hRule="atLeast"/>
                    </w:trPr>
                    <w:tc>
                      <w:tcPr>
                        <w:tcW w:w="3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27 </w:t>
                        </w:r>
                      </w:p>
                    </w:tc>
                    <w:tc>
                      <w:tcPr>
                        <w:tcW w:w="112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风机盘管液晶温控开关/多联机室内温控器调速开关</w:t>
                        </w:r>
                      </w:p>
                    </w:tc>
                    <w:tc>
                      <w:tcPr>
                        <w:tcW w:w="438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color w:val="auto"/>
                            <w:sz w:val="20"/>
                            <w:szCs w:val="20"/>
                            <w:highlight w:val="none"/>
                          </w:rPr>
                        </w:pP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同设备配套</w:t>
                        </w:r>
                      </w:p>
                    </w:tc>
                    <w:tc>
                      <w:tcPr>
                        <w:tcW w:w="7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50.00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480" w:hRule="atLeast"/>
                    </w:trPr>
                    <w:tc>
                      <w:tcPr>
                        <w:tcW w:w="3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三</w:t>
                        </w:r>
                      </w:p>
                    </w:tc>
                    <w:tc>
                      <w:tcPr>
                        <w:tcW w:w="112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b/>
                            <w:bCs/>
                            <w:color w:val="auto"/>
                            <w:sz w:val="20"/>
                            <w:szCs w:val="20"/>
                            <w:highlight w:val="none"/>
                          </w:rPr>
                        </w:pPr>
                        <w:r>
                          <w:rPr>
                            <w:rFonts w:hint="eastAsia" w:ascii="宋体" w:hAnsi="宋体" w:cs="宋体"/>
                            <w:b/>
                            <w:bCs/>
                            <w:color w:val="auto"/>
                            <w:sz w:val="20"/>
                            <w:szCs w:val="20"/>
                            <w:highlight w:val="none"/>
                            <w:lang w:bidi="ar"/>
                          </w:rPr>
                          <w:t>桥架、管、线</w:t>
                        </w:r>
                      </w:p>
                    </w:tc>
                    <w:tc>
                      <w:tcPr>
                        <w:tcW w:w="438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b/>
                            <w:bCs/>
                            <w:color w:val="auto"/>
                            <w:sz w:val="20"/>
                            <w:szCs w:val="20"/>
                            <w:highlight w:val="none"/>
                          </w:rPr>
                        </w:pP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bCs/>
                            <w:color w:val="auto"/>
                            <w:sz w:val="20"/>
                            <w:szCs w:val="20"/>
                            <w:highlight w:val="none"/>
                          </w:rPr>
                        </w:pPr>
                      </w:p>
                    </w:tc>
                    <w:tc>
                      <w:tcPr>
                        <w:tcW w:w="71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bCs/>
                            <w:color w:val="auto"/>
                            <w:sz w:val="20"/>
                            <w:szCs w:val="20"/>
                            <w:highlight w:val="none"/>
                          </w:rPr>
                        </w:pPr>
                      </w:p>
                    </w:tc>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 w:val="20"/>
                            <w:szCs w:val="20"/>
                            <w:highlight w:val="none"/>
                          </w:rPr>
                        </w:pP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134" w:hRule="atLeast"/>
                    </w:trPr>
                    <w:tc>
                      <w:tcPr>
                        <w:tcW w:w="3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 </w:t>
                        </w:r>
                      </w:p>
                    </w:tc>
                    <w:tc>
                      <w:tcPr>
                        <w:tcW w:w="112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热镀锌槽式桥架</w:t>
                        </w:r>
                      </w:p>
                    </w:tc>
                    <w:tc>
                      <w:tcPr>
                        <w:tcW w:w="438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200*100，含盖板、桥架、热浸锌吊支架及其接地；配件制作安装；桥架跨接；厚度满足相关规范要求</w:t>
                        </w:r>
                      </w:p>
                    </w:tc>
                    <w:tc>
                      <w:tcPr>
                        <w:tcW w:w="11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7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m</w:t>
                        </w:r>
                      </w:p>
                    </w:tc>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245.92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134" w:hRule="atLeast"/>
                    </w:trPr>
                    <w:tc>
                      <w:tcPr>
                        <w:tcW w:w="3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 </w:t>
                        </w:r>
                      </w:p>
                    </w:tc>
                    <w:tc>
                      <w:tcPr>
                        <w:tcW w:w="112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热镀锌槽式桥架</w:t>
                        </w:r>
                      </w:p>
                    </w:tc>
                    <w:tc>
                      <w:tcPr>
                        <w:tcW w:w="438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300*100，含盖板、桥架、热浸锌吊支架及其接地；配件制作安装；桥架跨接；厚度满足相关规范要求</w:t>
                        </w:r>
                      </w:p>
                    </w:tc>
                    <w:tc>
                      <w:tcPr>
                        <w:tcW w:w="11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7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m</w:t>
                        </w:r>
                      </w:p>
                    </w:tc>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8.20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134" w:hRule="atLeast"/>
                    </w:trPr>
                    <w:tc>
                      <w:tcPr>
                        <w:tcW w:w="3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3 </w:t>
                        </w:r>
                      </w:p>
                    </w:tc>
                    <w:tc>
                      <w:tcPr>
                        <w:tcW w:w="112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热镀锌槽式桥架</w:t>
                        </w:r>
                      </w:p>
                    </w:tc>
                    <w:tc>
                      <w:tcPr>
                        <w:tcW w:w="438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300*200，含盖板、桥架、热浸锌吊支架及其接地；配件制作安装；桥架跨接；厚度满足相关规范要求</w:t>
                        </w:r>
                      </w:p>
                    </w:tc>
                    <w:tc>
                      <w:tcPr>
                        <w:tcW w:w="11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7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m</w:t>
                        </w:r>
                      </w:p>
                    </w:tc>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63.43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134" w:hRule="atLeast"/>
                    </w:trPr>
                    <w:tc>
                      <w:tcPr>
                        <w:tcW w:w="3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4 </w:t>
                        </w:r>
                      </w:p>
                    </w:tc>
                    <w:tc>
                      <w:tcPr>
                        <w:tcW w:w="112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热镀锌槽式桥架</w:t>
                        </w:r>
                      </w:p>
                    </w:tc>
                    <w:tc>
                      <w:tcPr>
                        <w:tcW w:w="438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400*200，含盖板、桥架、热浸锌吊支架及其接地；配件制作安装；桥架跨接；厚度满足相关规范要求</w:t>
                        </w:r>
                      </w:p>
                    </w:tc>
                    <w:tc>
                      <w:tcPr>
                        <w:tcW w:w="11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7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m</w:t>
                        </w:r>
                      </w:p>
                    </w:tc>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5.84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134" w:hRule="atLeast"/>
                    </w:trPr>
                    <w:tc>
                      <w:tcPr>
                        <w:tcW w:w="3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5 </w:t>
                        </w:r>
                      </w:p>
                    </w:tc>
                    <w:tc>
                      <w:tcPr>
                        <w:tcW w:w="112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热镀锌槽式防水桥架</w:t>
                        </w:r>
                      </w:p>
                    </w:tc>
                    <w:tc>
                      <w:tcPr>
                        <w:tcW w:w="438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200*100，含盖板、桥架、热浸锌吊支架及其接地；配件制作安装；桥架跨接；厚度满足相关规范要求</w:t>
                        </w:r>
                      </w:p>
                    </w:tc>
                    <w:tc>
                      <w:tcPr>
                        <w:tcW w:w="11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7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m</w:t>
                        </w:r>
                      </w:p>
                    </w:tc>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316.80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134" w:hRule="atLeast"/>
                    </w:trPr>
                    <w:tc>
                      <w:tcPr>
                        <w:tcW w:w="3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6 </w:t>
                        </w:r>
                      </w:p>
                    </w:tc>
                    <w:tc>
                      <w:tcPr>
                        <w:tcW w:w="112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热镀锌槽式防水桥架</w:t>
                        </w:r>
                      </w:p>
                    </w:tc>
                    <w:tc>
                      <w:tcPr>
                        <w:tcW w:w="438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300*200，含盖板、桥架、热浸锌吊支架及其接地；配件制作安装；桥架跨接；厚度满足相关规范要求</w:t>
                        </w:r>
                      </w:p>
                    </w:tc>
                    <w:tc>
                      <w:tcPr>
                        <w:tcW w:w="11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7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m</w:t>
                        </w:r>
                      </w:p>
                    </w:tc>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42.00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134" w:hRule="atLeast"/>
                    </w:trPr>
                    <w:tc>
                      <w:tcPr>
                        <w:tcW w:w="3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7 </w:t>
                        </w:r>
                      </w:p>
                    </w:tc>
                    <w:tc>
                      <w:tcPr>
                        <w:tcW w:w="112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热镀锌槽式线槽</w:t>
                        </w:r>
                      </w:p>
                    </w:tc>
                    <w:tc>
                      <w:tcPr>
                        <w:tcW w:w="438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100*50，含盖板、桥架、热浸锌吊支架及其接地；配件制作安装；桥架跨接；厚度满足相关规范要求</w:t>
                        </w:r>
                      </w:p>
                    </w:tc>
                    <w:tc>
                      <w:tcPr>
                        <w:tcW w:w="11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7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m</w:t>
                        </w:r>
                      </w:p>
                    </w:tc>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576.52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134" w:hRule="atLeast"/>
                    </w:trPr>
                    <w:tc>
                      <w:tcPr>
                        <w:tcW w:w="3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8 </w:t>
                        </w:r>
                      </w:p>
                    </w:tc>
                    <w:tc>
                      <w:tcPr>
                        <w:tcW w:w="112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热镀锌槽式线槽</w:t>
                        </w:r>
                      </w:p>
                    </w:tc>
                    <w:tc>
                      <w:tcPr>
                        <w:tcW w:w="438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150*75，含盖板、桥架、热浸锌吊支架及其接地；配件制作安装；桥架跨接；厚度满足相关规范要求</w:t>
                        </w:r>
                      </w:p>
                    </w:tc>
                    <w:tc>
                      <w:tcPr>
                        <w:tcW w:w="11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7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m</w:t>
                        </w:r>
                      </w:p>
                    </w:tc>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114.52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134" w:hRule="atLeast"/>
                    </w:trPr>
                    <w:tc>
                      <w:tcPr>
                        <w:tcW w:w="3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9 </w:t>
                        </w:r>
                      </w:p>
                    </w:tc>
                    <w:tc>
                      <w:tcPr>
                        <w:tcW w:w="112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热镀锌槽式线槽</w:t>
                        </w:r>
                      </w:p>
                    </w:tc>
                    <w:tc>
                      <w:tcPr>
                        <w:tcW w:w="438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200*100，含盖板、桥架、热浸锌吊支架及其接地；配件制作安装；桥架跨接；厚度满足相关规范要求</w:t>
                        </w:r>
                      </w:p>
                    </w:tc>
                    <w:tc>
                      <w:tcPr>
                        <w:tcW w:w="11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7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m</w:t>
                        </w:r>
                      </w:p>
                    </w:tc>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440.54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134" w:hRule="atLeast"/>
                    </w:trPr>
                    <w:tc>
                      <w:tcPr>
                        <w:tcW w:w="3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 </w:t>
                        </w:r>
                      </w:p>
                    </w:tc>
                    <w:tc>
                      <w:tcPr>
                        <w:tcW w:w="112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热镀锌槽式线槽</w:t>
                        </w:r>
                      </w:p>
                    </w:tc>
                    <w:tc>
                      <w:tcPr>
                        <w:tcW w:w="438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300*100，含盖板、桥架、热浸锌吊支架及其接地；配件制作安装；桥架跨接；厚度满足相关规范要求</w:t>
                        </w:r>
                      </w:p>
                    </w:tc>
                    <w:tc>
                      <w:tcPr>
                        <w:tcW w:w="11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7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m</w:t>
                        </w:r>
                      </w:p>
                    </w:tc>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60.90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134" w:hRule="atLeast"/>
                    </w:trPr>
                    <w:tc>
                      <w:tcPr>
                        <w:tcW w:w="3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11 </w:t>
                        </w:r>
                      </w:p>
                    </w:tc>
                    <w:tc>
                      <w:tcPr>
                        <w:tcW w:w="112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热镀锌槽式防水线槽</w:t>
                        </w:r>
                      </w:p>
                    </w:tc>
                    <w:tc>
                      <w:tcPr>
                        <w:tcW w:w="438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200*100，含盖板、桥架、热浸锌吊支架及其接地；配件制作安装；桥架跨接；厚度满足相关规范要求</w:t>
                        </w:r>
                      </w:p>
                    </w:tc>
                    <w:tc>
                      <w:tcPr>
                        <w:tcW w:w="11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7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m</w:t>
                        </w:r>
                      </w:p>
                    </w:tc>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102.00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134" w:hRule="atLeast"/>
                    </w:trPr>
                    <w:tc>
                      <w:tcPr>
                        <w:tcW w:w="3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12 </w:t>
                        </w:r>
                      </w:p>
                    </w:tc>
                    <w:tc>
                      <w:tcPr>
                        <w:tcW w:w="112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镀锌钢管</w:t>
                        </w:r>
                      </w:p>
                    </w:tc>
                    <w:tc>
                      <w:tcPr>
                        <w:tcW w:w="438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SC20，配置形式及部位：砖、混凝土结构明暗配；含热浸锌吊支架、接地及防腐等；开槽补槽粉刷等一切相关费用</w:t>
                        </w:r>
                      </w:p>
                    </w:tc>
                    <w:tc>
                      <w:tcPr>
                        <w:tcW w:w="11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7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m</w:t>
                        </w:r>
                      </w:p>
                    </w:tc>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59.70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134" w:hRule="atLeast"/>
                    </w:trPr>
                    <w:tc>
                      <w:tcPr>
                        <w:tcW w:w="3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13 </w:t>
                        </w:r>
                      </w:p>
                    </w:tc>
                    <w:tc>
                      <w:tcPr>
                        <w:tcW w:w="112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镀锌钢管</w:t>
                        </w:r>
                      </w:p>
                    </w:tc>
                    <w:tc>
                      <w:tcPr>
                        <w:tcW w:w="438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SC25，配置形式及部位：砖、混凝土结构明暗配；含热浸锌吊支架、接地及防腐等；开槽补槽粉刷等一切相关费用</w:t>
                        </w:r>
                      </w:p>
                    </w:tc>
                    <w:tc>
                      <w:tcPr>
                        <w:tcW w:w="11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7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m</w:t>
                        </w:r>
                      </w:p>
                    </w:tc>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384.44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134" w:hRule="atLeast"/>
                    </w:trPr>
                    <w:tc>
                      <w:tcPr>
                        <w:tcW w:w="3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14 </w:t>
                        </w:r>
                      </w:p>
                    </w:tc>
                    <w:tc>
                      <w:tcPr>
                        <w:tcW w:w="112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镀锌钢管</w:t>
                        </w:r>
                      </w:p>
                    </w:tc>
                    <w:tc>
                      <w:tcPr>
                        <w:tcW w:w="438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SC32，配置形式及部位：砖、混凝土结构明暗配；含热浸锌吊支架、接地及防腐等；开槽补槽粉刷等一切相关费用</w:t>
                        </w:r>
                      </w:p>
                    </w:tc>
                    <w:tc>
                      <w:tcPr>
                        <w:tcW w:w="11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7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m</w:t>
                        </w:r>
                      </w:p>
                    </w:tc>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182.57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134" w:hRule="atLeast"/>
                    </w:trPr>
                    <w:tc>
                      <w:tcPr>
                        <w:tcW w:w="3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15 </w:t>
                        </w:r>
                      </w:p>
                    </w:tc>
                    <w:tc>
                      <w:tcPr>
                        <w:tcW w:w="112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镀锌钢管</w:t>
                        </w:r>
                      </w:p>
                    </w:tc>
                    <w:tc>
                      <w:tcPr>
                        <w:tcW w:w="438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SC40，配置形式及部位：砖、混凝土结构明暗配；含热浸锌吊支架、接地及防腐等；开槽补槽粉刷等一切相关费用</w:t>
                        </w:r>
                      </w:p>
                    </w:tc>
                    <w:tc>
                      <w:tcPr>
                        <w:tcW w:w="11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7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m</w:t>
                        </w:r>
                      </w:p>
                    </w:tc>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249.66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134" w:hRule="atLeast"/>
                    </w:trPr>
                    <w:tc>
                      <w:tcPr>
                        <w:tcW w:w="3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16 </w:t>
                        </w:r>
                      </w:p>
                    </w:tc>
                    <w:tc>
                      <w:tcPr>
                        <w:tcW w:w="112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镀锌钢管</w:t>
                        </w:r>
                      </w:p>
                    </w:tc>
                    <w:tc>
                      <w:tcPr>
                        <w:tcW w:w="438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SC50，配置形式及部位：砖、混凝土结构明暗配；含热浸锌吊支架、接地及防腐等；开槽补槽粉刷等一切相关费用</w:t>
                        </w:r>
                      </w:p>
                    </w:tc>
                    <w:tc>
                      <w:tcPr>
                        <w:tcW w:w="11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7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m</w:t>
                        </w:r>
                      </w:p>
                    </w:tc>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157.49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134" w:hRule="atLeast"/>
                    </w:trPr>
                    <w:tc>
                      <w:tcPr>
                        <w:tcW w:w="3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17 </w:t>
                        </w:r>
                      </w:p>
                    </w:tc>
                    <w:tc>
                      <w:tcPr>
                        <w:tcW w:w="112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镀锌钢管</w:t>
                        </w:r>
                      </w:p>
                    </w:tc>
                    <w:tc>
                      <w:tcPr>
                        <w:tcW w:w="438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SC70，配置形式及部位：砖、混凝土结构明暗配；含热浸锌吊支架、接地及防腐等；开槽补槽粉刷等一切相关费用</w:t>
                        </w:r>
                      </w:p>
                    </w:tc>
                    <w:tc>
                      <w:tcPr>
                        <w:tcW w:w="11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7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m</w:t>
                        </w:r>
                      </w:p>
                    </w:tc>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47.69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134" w:hRule="atLeast"/>
                    </w:trPr>
                    <w:tc>
                      <w:tcPr>
                        <w:tcW w:w="3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18 </w:t>
                        </w:r>
                      </w:p>
                    </w:tc>
                    <w:tc>
                      <w:tcPr>
                        <w:tcW w:w="112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镀锌钢管</w:t>
                        </w:r>
                      </w:p>
                    </w:tc>
                    <w:tc>
                      <w:tcPr>
                        <w:tcW w:w="438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SC80，配置形式及部位：砖、混凝土结构明暗配；含热浸锌吊支架、接地及防腐等；开槽补槽粉刷等一切相关费用</w:t>
                        </w:r>
                      </w:p>
                    </w:tc>
                    <w:tc>
                      <w:tcPr>
                        <w:tcW w:w="11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7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m</w:t>
                        </w:r>
                      </w:p>
                    </w:tc>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45.47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134" w:hRule="atLeast"/>
                    </w:trPr>
                    <w:tc>
                      <w:tcPr>
                        <w:tcW w:w="3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19 </w:t>
                        </w:r>
                      </w:p>
                    </w:tc>
                    <w:tc>
                      <w:tcPr>
                        <w:tcW w:w="112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镀锌钢管</w:t>
                        </w:r>
                      </w:p>
                    </w:tc>
                    <w:tc>
                      <w:tcPr>
                        <w:tcW w:w="438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SC100，配置形式及部位：砖、混凝土结构明暗配；含热浸锌吊支架、接地及防腐等；开槽补槽粉刷等一切相关费用</w:t>
                        </w:r>
                      </w:p>
                    </w:tc>
                    <w:tc>
                      <w:tcPr>
                        <w:tcW w:w="11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7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m</w:t>
                        </w:r>
                      </w:p>
                    </w:tc>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51.20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134" w:hRule="atLeast"/>
                    </w:trPr>
                    <w:tc>
                      <w:tcPr>
                        <w:tcW w:w="3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20 </w:t>
                        </w:r>
                      </w:p>
                    </w:tc>
                    <w:tc>
                      <w:tcPr>
                        <w:tcW w:w="112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套接紧定式镀锌钢导管</w:t>
                        </w:r>
                      </w:p>
                    </w:tc>
                    <w:tc>
                      <w:tcPr>
                        <w:tcW w:w="438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JDG20，配置形式及部位：砖、混凝土结构明暗配；含热浸锌吊支架、接地及防腐等；开槽补槽粉刷等一切相关费用</w:t>
                        </w:r>
                      </w:p>
                    </w:tc>
                    <w:tc>
                      <w:tcPr>
                        <w:tcW w:w="11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7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m</w:t>
                        </w:r>
                      </w:p>
                    </w:tc>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6764.30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134" w:hRule="atLeast"/>
                    </w:trPr>
                    <w:tc>
                      <w:tcPr>
                        <w:tcW w:w="3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21 </w:t>
                        </w:r>
                      </w:p>
                    </w:tc>
                    <w:tc>
                      <w:tcPr>
                        <w:tcW w:w="112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套接紧定式镀锌钢导管</w:t>
                        </w:r>
                      </w:p>
                    </w:tc>
                    <w:tc>
                      <w:tcPr>
                        <w:tcW w:w="438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JDG25，配置形式及部位：砖、混凝土结构明暗配；含热浸锌吊支架、接地及防腐等；开槽补槽粉刷等一切相关费用</w:t>
                        </w:r>
                      </w:p>
                    </w:tc>
                    <w:tc>
                      <w:tcPr>
                        <w:tcW w:w="11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7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m</w:t>
                        </w:r>
                      </w:p>
                    </w:tc>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7607.51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134" w:hRule="atLeast"/>
                    </w:trPr>
                    <w:tc>
                      <w:tcPr>
                        <w:tcW w:w="3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22 </w:t>
                        </w:r>
                      </w:p>
                    </w:tc>
                    <w:tc>
                      <w:tcPr>
                        <w:tcW w:w="112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套接紧定式镀锌钢导管</w:t>
                        </w:r>
                      </w:p>
                    </w:tc>
                    <w:tc>
                      <w:tcPr>
                        <w:tcW w:w="438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JDG32，配置形式及部位：砖、混凝土结构明暗配；含热浸锌吊支架、接地及防腐等；开槽补槽粉刷等一切相关费用</w:t>
                        </w:r>
                      </w:p>
                    </w:tc>
                    <w:tc>
                      <w:tcPr>
                        <w:tcW w:w="11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7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m</w:t>
                        </w:r>
                      </w:p>
                    </w:tc>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80.96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134" w:hRule="atLeast"/>
                    </w:trPr>
                    <w:tc>
                      <w:tcPr>
                        <w:tcW w:w="3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23 </w:t>
                        </w:r>
                      </w:p>
                    </w:tc>
                    <w:tc>
                      <w:tcPr>
                        <w:tcW w:w="112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套接紧定式镀锌钢导管</w:t>
                        </w:r>
                      </w:p>
                    </w:tc>
                    <w:tc>
                      <w:tcPr>
                        <w:tcW w:w="438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JDG40，配置形式及部位：砖、混凝土结构明暗配；含热浸锌吊支架、接地及防腐等；开槽补槽粉刷等一切相关费用</w:t>
                        </w:r>
                      </w:p>
                    </w:tc>
                    <w:tc>
                      <w:tcPr>
                        <w:tcW w:w="11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7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m</w:t>
                        </w:r>
                      </w:p>
                    </w:tc>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69.00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134" w:hRule="atLeast"/>
                    </w:trPr>
                    <w:tc>
                      <w:tcPr>
                        <w:tcW w:w="3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24 </w:t>
                        </w:r>
                      </w:p>
                    </w:tc>
                    <w:tc>
                      <w:tcPr>
                        <w:tcW w:w="112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穿聚氯乙烯硬质塑料管敷设</w:t>
                        </w:r>
                      </w:p>
                    </w:tc>
                    <w:tc>
                      <w:tcPr>
                        <w:tcW w:w="438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PC20，配置形式及部位：砖、混凝土结构明暗配；含热浸锌吊支架、接地及防腐等；开槽补槽粉刷等一切相关费用</w:t>
                        </w:r>
                      </w:p>
                    </w:tc>
                    <w:tc>
                      <w:tcPr>
                        <w:tcW w:w="11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7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m</w:t>
                        </w:r>
                      </w:p>
                    </w:tc>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150.20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134" w:hRule="atLeast"/>
                    </w:trPr>
                    <w:tc>
                      <w:tcPr>
                        <w:tcW w:w="3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25 </w:t>
                        </w:r>
                      </w:p>
                    </w:tc>
                    <w:tc>
                      <w:tcPr>
                        <w:tcW w:w="112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穿聚氯乙烯硬质塑料管敷设</w:t>
                        </w:r>
                      </w:p>
                    </w:tc>
                    <w:tc>
                      <w:tcPr>
                        <w:tcW w:w="438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PC25，配置形式及部位：砖、混凝土结构明暗配；含热浸锌吊支架、接地及防腐等；开槽补槽粉刷等一切相关费用</w:t>
                        </w:r>
                      </w:p>
                    </w:tc>
                    <w:tc>
                      <w:tcPr>
                        <w:tcW w:w="11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7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m</w:t>
                        </w:r>
                      </w:p>
                    </w:tc>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20.00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480" w:hRule="atLeast"/>
                    </w:trPr>
                    <w:tc>
                      <w:tcPr>
                        <w:tcW w:w="3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26 </w:t>
                        </w:r>
                      </w:p>
                    </w:tc>
                    <w:tc>
                      <w:tcPr>
                        <w:tcW w:w="112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金属软管</w:t>
                        </w:r>
                      </w:p>
                    </w:tc>
                    <w:tc>
                      <w:tcPr>
                        <w:tcW w:w="438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金属软管敷设 管径20mm以内</w:t>
                        </w:r>
                      </w:p>
                    </w:tc>
                    <w:tc>
                      <w:tcPr>
                        <w:tcW w:w="11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7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m</w:t>
                        </w:r>
                      </w:p>
                    </w:tc>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853.00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820" w:hRule="atLeast"/>
                    </w:trPr>
                    <w:tc>
                      <w:tcPr>
                        <w:tcW w:w="3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27 </w:t>
                        </w:r>
                      </w:p>
                    </w:tc>
                    <w:tc>
                      <w:tcPr>
                        <w:tcW w:w="112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电线</w:t>
                        </w:r>
                      </w:p>
                    </w:tc>
                    <w:tc>
                      <w:tcPr>
                        <w:tcW w:w="438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ZR-BVR-16mm²，敷设方式：桥架、配管内</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上上、特变、远东</w:t>
                        </w:r>
                      </w:p>
                    </w:tc>
                    <w:tc>
                      <w:tcPr>
                        <w:tcW w:w="7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m</w:t>
                        </w:r>
                      </w:p>
                    </w:tc>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20.00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820" w:hRule="atLeast"/>
                    </w:trPr>
                    <w:tc>
                      <w:tcPr>
                        <w:tcW w:w="3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28 </w:t>
                        </w:r>
                      </w:p>
                    </w:tc>
                    <w:tc>
                      <w:tcPr>
                        <w:tcW w:w="112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电线</w:t>
                        </w:r>
                      </w:p>
                    </w:tc>
                    <w:tc>
                      <w:tcPr>
                        <w:tcW w:w="438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ZR-BV-6mm²，敷设方式：桥架、配管内</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上上、特变、远东</w:t>
                        </w:r>
                      </w:p>
                    </w:tc>
                    <w:tc>
                      <w:tcPr>
                        <w:tcW w:w="7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m</w:t>
                        </w:r>
                      </w:p>
                    </w:tc>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2548.04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820" w:hRule="atLeast"/>
                    </w:trPr>
                    <w:tc>
                      <w:tcPr>
                        <w:tcW w:w="3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29 </w:t>
                        </w:r>
                      </w:p>
                    </w:tc>
                    <w:tc>
                      <w:tcPr>
                        <w:tcW w:w="112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电线</w:t>
                        </w:r>
                      </w:p>
                    </w:tc>
                    <w:tc>
                      <w:tcPr>
                        <w:tcW w:w="438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WDZ-BYJ-2.5mm²，敷设方式：桥架、配管内</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上上、特变、远东</w:t>
                        </w:r>
                      </w:p>
                    </w:tc>
                    <w:tc>
                      <w:tcPr>
                        <w:tcW w:w="7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m</w:t>
                        </w:r>
                      </w:p>
                    </w:tc>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31139.73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820" w:hRule="atLeast"/>
                    </w:trPr>
                    <w:tc>
                      <w:tcPr>
                        <w:tcW w:w="3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30 </w:t>
                        </w:r>
                      </w:p>
                    </w:tc>
                    <w:tc>
                      <w:tcPr>
                        <w:tcW w:w="112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电线</w:t>
                        </w:r>
                      </w:p>
                    </w:tc>
                    <w:tc>
                      <w:tcPr>
                        <w:tcW w:w="438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WDZ-BYJ-4mm²，敷设方式：桥架、配管内</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上上、特变、远东</w:t>
                        </w:r>
                      </w:p>
                    </w:tc>
                    <w:tc>
                      <w:tcPr>
                        <w:tcW w:w="7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m</w:t>
                        </w:r>
                      </w:p>
                    </w:tc>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34547.18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820" w:hRule="atLeast"/>
                    </w:trPr>
                    <w:tc>
                      <w:tcPr>
                        <w:tcW w:w="3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31 </w:t>
                        </w:r>
                      </w:p>
                    </w:tc>
                    <w:tc>
                      <w:tcPr>
                        <w:tcW w:w="112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电线</w:t>
                        </w:r>
                      </w:p>
                    </w:tc>
                    <w:tc>
                      <w:tcPr>
                        <w:tcW w:w="438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WDZ-BYJ-6mm²，敷设方式：桥架、配管内</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上上、特变、远东</w:t>
                        </w:r>
                      </w:p>
                    </w:tc>
                    <w:tc>
                      <w:tcPr>
                        <w:tcW w:w="7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m</w:t>
                        </w:r>
                      </w:p>
                    </w:tc>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878.16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820" w:hRule="atLeast"/>
                    </w:trPr>
                    <w:tc>
                      <w:tcPr>
                        <w:tcW w:w="3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32 </w:t>
                        </w:r>
                      </w:p>
                    </w:tc>
                    <w:tc>
                      <w:tcPr>
                        <w:tcW w:w="112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风机盘管液晶控制线</w:t>
                        </w:r>
                      </w:p>
                    </w:tc>
                    <w:tc>
                      <w:tcPr>
                        <w:tcW w:w="438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Rvv7x1.0，敷设方式：桥架、配管内</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上上、特变、远东</w:t>
                        </w:r>
                      </w:p>
                    </w:tc>
                    <w:tc>
                      <w:tcPr>
                        <w:tcW w:w="7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m</w:t>
                        </w:r>
                      </w:p>
                    </w:tc>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468.18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820" w:hRule="atLeast"/>
                    </w:trPr>
                    <w:tc>
                      <w:tcPr>
                        <w:tcW w:w="3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33 </w:t>
                        </w:r>
                      </w:p>
                    </w:tc>
                    <w:tc>
                      <w:tcPr>
                        <w:tcW w:w="112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启停按钮控制线</w:t>
                        </w:r>
                      </w:p>
                    </w:tc>
                    <w:tc>
                      <w:tcPr>
                        <w:tcW w:w="438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WDZ-KYJY 6x1.5，敷设方式：桥架、配管内</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上上、特变、远东</w:t>
                        </w:r>
                      </w:p>
                    </w:tc>
                    <w:tc>
                      <w:tcPr>
                        <w:tcW w:w="7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m</w:t>
                        </w:r>
                      </w:p>
                    </w:tc>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139.30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820" w:hRule="atLeast"/>
                    </w:trPr>
                    <w:tc>
                      <w:tcPr>
                        <w:tcW w:w="3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34 </w:t>
                        </w:r>
                      </w:p>
                    </w:tc>
                    <w:tc>
                      <w:tcPr>
                        <w:tcW w:w="112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联动控制通讯线</w:t>
                        </w:r>
                      </w:p>
                    </w:tc>
                    <w:tc>
                      <w:tcPr>
                        <w:tcW w:w="438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WDZ-KYJY 4x1.5，敷设方式：桥架、配管内</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上上、特变、远东</w:t>
                        </w:r>
                      </w:p>
                    </w:tc>
                    <w:tc>
                      <w:tcPr>
                        <w:tcW w:w="7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m</w:t>
                        </w:r>
                      </w:p>
                    </w:tc>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23.60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820" w:hRule="atLeast"/>
                    </w:trPr>
                    <w:tc>
                      <w:tcPr>
                        <w:tcW w:w="3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35 </w:t>
                        </w:r>
                      </w:p>
                    </w:tc>
                    <w:tc>
                      <w:tcPr>
                        <w:tcW w:w="112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低烟无卤电力电缆</w:t>
                        </w:r>
                      </w:p>
                    </w:tc>
                    <w:tc>
                      <w:tcPr>
                        <w:tcW w:w="438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WDZ-YJY-3*10mm²，敷设方式：桥架、配管内</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上上、特变、远东</w:t>
                        </w:r>
                      </w:p>
                    </w:tc>
                    <w:tc>
                      <w:tcPr>
                        <w:tcW w:w="7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m</w:t>
                        </w:r>
                      </w:p>
                    </w:tc>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36.38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820" w:hRule="atLeast"/>
                    </w:trPr>
                    <w:tc>
                      <w:tcPr>
                        <w:tcW w:w="3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36 </w:t>
                        </w:r>
                      </w:p>
                    </w:tc>
                    <w:tc>
                      <w:tcPr>
                        <w:tcW w:w="112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低烟无卤电力电缆</w:t>
                        </w:r>
                      </w:p>
                    </w:tc>
                    <w:tc>
                      <w:tcPr>
                        <w:tcW w:w="438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WDZ-YJY-4*2.5mm²，敷设方式：桥架、配管内</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上上、特变、远东</w:t>
                        </w:r>
                      </w:p>
                    </w:tc>
                    <w:tc>
                      <w:tcPr>
                        <w:tcW w:w="7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m</w:t>
                        </w:r>
                      </w:p>
                    </w:tc>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1824.32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820" w:hRule="atLeast"/>
                    </w:trPr>
                    <w:tc>
                      <w:tcPr>
                        <w:tcW w:w="3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37 </w:t>
                        </w:r>
                      </w:p>
                    </w:tc>
                    <w:tc>
                      <w:tcPr>
                        <w:tcW w:w="112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低烟无卤电力电缆</w:t>
                        </w:r>
                      </w:p>
                    </w:tc>
                    <w:tc>
                      <w:tcPr>
                        <w:tcW w:w="438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WDZ-YJY-4*4mm²，敷设方式：桥架、配管内</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上上、特变、远东</w:t>
                        </w:r>
                      </w:p>
                    </w:tc>
                    <w:tc>
                      <w:tcPr>
                        <w:tcW w:w="7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m</w:t>
                        </w:r>
                      </w:p>
                    </w:tc>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596.97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820" w:hRule="atLeast"/>
                    </w:trPr>
                    <w:tc>
                      <w:tcPr>
                        <w:tcW w:w="3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38 </w:t>
                        </w:r>
                      </w:p>
                    </w:tc>
                    <w:tc>
                      <w:tcPr>
                        <w:tcW w:w="112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低烟无卤电力电缆</w:t>
                        </w:r>
                      </w:p>
                    </w:tc>
                    <w:tc>
                      <w:tcPr>
                        <w:tcW w:w="438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WDZ-YJY-4*6mm²，敷设方式：桥架、配管内</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上上、特变、远东</w:t>
                        </w:r>
                      </w:p>
                    </w:tc>
                    <w:tc>
                      <w:tcPr>
                        <w:tcW w:w="7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m</w:t>
                        </w:r>
                      </w:p>
                    </w:tc>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230.89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820" w:hRule="atLeast"/>
                    </w:trPr>
                    <w:tc>
                      <w:tcPr>
                        <w:tcW w:w="3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39 </w:t>
                        </w:r>
                      </w:p>
                    </w:tc>
                    <w:tc>
                      <w:tcPr>
                        <w:tcW w:w="112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低烟无卤电力电缆</w:t>
                        </w:r>
                      </w:p>
                    </w:tc>
                    <w:tc>
                      <w:tcPr>
                        <w:tcW w:w="438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WDZ-YJY-4*10mm²，敷设方式：桥架、配管内</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上上、特变、远东</w:t>
                        </w:r>
                      </w:p>
                    </w:tc>
                    <w:tc>
                      <w:tcPr>
                        <w:tcW w:w="7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m</w:t>
                        </w:r>
                      </w:p>
                    </w:tc>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20.50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820" w:hRule="atLeast"/>
                    </w:trPr>
                    <w:tc>
                      <w:tcPr>
                        <w:tcW w:w="3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40 </w:t>
                        </w:r>
                      </w:p>
                    </w:tc>
                    <w:tc>
                      <w:tcPr>
                        <w:tcW w:w="112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低烟无卤电力电缆</w:t>
                        </w:r>
                      </w:p>
                    </w:tc>
                    <w:tc>
                      <w:tcPr>
                        <w:tcW w:w="438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WDZ-YJY-4*16mm²，敷设方式：桥架、配管内</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上上、特变、远东</w:t>
                        </w:r>
                      </w:p>
                    </w:tc>
                    <w:tc>
                      <w:tcPr>
                        <w:tcW w:w="7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m</w:t>
                        </w:r>
                      </w:p>
                    </w:tc>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15.38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820" w:hRule="atLeast"/>
                    </w:trPr>
                    <w:tc>
                      <w:tcPr>
                        <w:tcW w:w="3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41 </w:t>
                        </w:r>
                      </w:p>
                    </w:tc>
                    <w:tc>
                      <w:tcPr>
                        <w:tcW w:w="112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低烟无卤电力电缆</w:t>
                        </w:r>
                      </w:p>
                    </w:tc>
                    <w:tc>
                      <w:tcPr>
                        <w:tcW w:w="438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WDZ-YJY-5*2.5mm²，敷设方式：桥架、配管内</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上上、特变、远东</w:t>
                        </w:r>
                      </w:p>
                    </w:tc>
                    <w:tc>
                      <w:tcPr>
                        <w:tcW w:w="71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 w:val="20"/>
                            <w:szCs w:val="20"/>
                            <w:highlight w:val="none"/>
                          </w:rPr>
                        </w:pPr>
                      </w:p>
                    </w:tc>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5.13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820" w:hRule="atLeast"/>
                    </w:trPr>
                    <w:tc>
                      <w:tcPr>
                        <w:tcW w:w="3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42 </w:t>
                        </w:r>
                      </w:p>
                    </w:tc>
                    <w:tc>
                      <w:tcPr>
                        <w:tcW w:w="112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低烟无卤电力电缆</w:t>
                        </w:r>
                      </w:p>
                    </w:tc>
                    <w:tc>
                      <w:tcPr>
                        <w:tcW w:w="438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WDZ-YJY-5*4mm²，敷设方式：桥架、配管内</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上上、特变、远东</w:t>
                        </w:r>
                      </w:p>
                    </w:tc>
                    <w:tc>
                      <w:tcPr>
                        <w:tcW w:w="7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m</w:t>
                        </w:r>
                      </w:p>
                    </w:tc>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180.91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820" w:hRule="atLeast"/>
                    </w:trPr>
                    <w:tc>
                      <w:tcPr>
                        <w:tcW w:w="3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43 </w:t>
                        </w:r>
                      </w:p>
                    </w:tc>
                    <w:tc>
                      <w:tcPr>
                        <w:tcW w:w="112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低烟无卤电力电缆</w:t>
                        </w:r>
                      </w:p>
                    </w:tc>
                    <w:tc>
                      <w:tcPr>
                        <w:tcW w:w="438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WDZ-YJY-5*6mm²，敷设方式：桥架、配管内</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上上、特变、远东</w:t>
                        </w:r>
                      </w:p>
                    </w:tc>
                    <w:tc>
                      <w:tcPr>
                        <w:tcW w:w="7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m</w:t>
                        </w:r>
                      </w:p>
                    </w:tc>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493.55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820" w:hRule="atLeast"/>
                    </w:trPr>
                    <w:tc>
                      <w:tcPr>
                        <w:tcW w:w="3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44 </w:t>
                        </w:r>
                      </w:p>
                    </w:tc>
                    <w:tc>
                      <w:tcPr>
                        <w:tcW w:w="112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低烟无卤电力电缆</w:t>
                        </w:r>
                      </w:p>
                    </w:tc>
                    <w:tc>
                      <w:tcPr>
                        <w:tcW w:w="438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WDZ-YJY-5*10mm²，敷设方式：桥架、配管内</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上上、特变、远东</w:t>
                        </w:r>
                      </w:p>
                    </w:tc>
                    <w:tc>
                      <w:tcPr>
                        <w:tcW w:w="7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m</w:t>
                        </w:r>
                      </w:p>
                    </w:tc>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907.88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820" w:hRule="atLeast"/>
                    </w:trPr>
                    <w:tc>
                      <w:tcPr>
                        <w:tcW w:w="3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45 </w:t>
                        </w:r>
                      </w:p>
                    </w:tc>
                    <w:tc>
                      <w:tcPr>
                        <w:tcW w:w="112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低烟无卤电力电缆</w:t>
                        </w:r>
                      </w:p>
                    </w:tc>
                    <w:tc>
                      <w:tcPr>
                        <w:tcW w:w="438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WDZ-YJY-5*16mm²，敷设方式：桥架、配管内</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上上、特变、远东</w:t>
                        </w:r>
                      </w:p>
                    </w:tc>
                    <w:tc>
                      <w:tcPr>
                        <w:tcW w:w="7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m</w:t>
                        </w:r>
                      </w:p>
                    </w:tc>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1743.42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820" w:hRule="atLeast"/>
                    </w:trPr>
                    <w:tc>
                      <w:tcPr>
                        <w:tcW w:w="3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46 </w:t>
                        </w:r>
                      </w:p>
                    </w:tc>
                    <w:tc>
                      <w:tcPr>
                        <w:tcW w:w="112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低烟无卤电力电缆</w:t>
                        </w:r>
                      </w:p>
                    </w:tc>
                    <w:tc>
                      <w:tcPr>
                        <w:tcW w:w="438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WDZ-YJY-4*25+1x16mm²，敷设方式：桥架、配管内</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上上、特变、远东</w:t>
                        </w:r>
                      </w:p>
                    </w:tc>
                    <w:tc>
                      <w:tcPr>
                        <w:tcW w:w="7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m</w:t>
                        </w:r>
                      </w:p>
                    </w:tc>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293.12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820" w:hRule="atLeast"/>
                    </w:trPr>
                    <w:tc>
                      <w:tcPr>
                        <w:tcW w:w="3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47 </w:t>
                        </w:r>
                      </w:p>
                    </w:tc>
                    <w:tc>
                      <w:tcPr>
                        <w:tcW w:w="112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低烟无卤电力电缆</w:t>
                        </w:r>
                      </w:p>
                    </w:tc>
                    <w:tc>
                      <w:tcPr>
                        <w:tcW w:w="438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WDZ-YJY-4*35+1x16mm²，敷设方式：桥架、配管内</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上上、特变、远东</w:t>
                        </w:r>
                      </w:p>
                    </w:tc>
                    <w:tc>
                      <w:tcPr>
                        <w:tcW w:w="7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m</w:t>
                        </w:r>
                      </w:p>
                    </w:tc>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652.41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820" w:hRule="atLeast"/>
                    </w:trPr>
                    <w:tc>
                      <w:tcPr>
                        <w:tcW w:w="3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48 </w:t>
                        </w:r>
                      </w:p>
                    </w:tc>
                    <w:tc>
                      <w:tcPr>
                        <w:tcW w:w="112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低烟无卤电力电缆</w:t>
                        </w:r>
                      </w:p>
                    </w:tc>
                    <w:tc>
                      <w:tcPr>
                        <w:tcW w:w="438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WDZ-YJY-4*50+1x25mm²，敷设方式：桥架、配管内</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上上、特变、远东</w:t>
                        </w:r>
                      </w:p>
                    </w:tc>
                    <w:tc>
                      <w:tcPr>
                        <w:tcW w:w="7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m</w:t>
                        </w:r>
                      </w:p>
                    </w:tc>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73.68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820" w:hRule="atLeast"/>
                    </w:trPr>
                    <w:tc>
                      <w:tcPr>
                        <w:tcW w:w="3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49 </w:t>
                        </w:r>
                      </w:p>
                    </w:tc>
                    <w:tc>
                      <w:tcPr>
                        <w:tcW w:w="112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低烟无卤电力电缆</w:t>
                        </w:r>
                      </w:p>
                    </w:tc>
                    <w:tc>
                      <w:tcPr>
                        <w:tcW w:w="438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WDZ-YJY-4*70+1x35mm²，敷设方式：桥架、配管内</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上上、特变、远东</w:t>
                        </w:r>
                      </w:p>
                    </w:tc>
                    <w:tc>
                      <w:tcPr>
                        <w:tcW w:w="7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m</w:t>
                        </w:r>
                      </w:p>
                    </w:tc>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178.72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820" w:hRule="atLeast"/>
                    </w:trPr>
                    <w:tc>
                      <w:tcPr>
                        <w:tcW w:w="3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50 </w:t>
                        </w:r>
                      </w:p>
                    </w:tc>
                    <w:tc>
                      <w:tcPr>
                        <w:tcW w:w="112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低烟无卤电力电缆</w:t>
                        </w:r>
                      </w:p>
                    </w:tc>
                    <w:tc>
                      <w:tcPr>
                        <w:tcW w:w="438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WDZ-YJY-4*95+1x50mm²，敷设方式：桥架、配管内</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上上、特变、远东</w:t>
                        </w:r>
                      </w:p>
                    </w:tc>
                    <w:tc>
                      <w:tcPr>
                        <w:tcW w:w="7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m</w:t>
                        </w:r>
                      </w:p>
                    </w:tc>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79.44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720" w:hRule="atLeast"/>
                    </w:trPr>
                    <w:tc>
                      <w:tcPr>
                        <w:tcW w:w="3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51 </w:t>
                        </w:r>
                      </w:p>
                    </w:tc>
                    <w:tc>
                      <w:tcPr>
                        <w:tcW w:w="112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低烟无卤电力电缆</w:t>
                        </w:r>
                      </w:p>
                    </w:tc>
                    <w:tc>
                      <w:tcPr>
                        <w:tcW w:w="438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WDZ-YJY-4*120+1x70mm²，敷设方式：桥架、配管内</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上上、特变、远东</w:t>
                        </w:r>
                      </w:p>
                    </w:tc>
                    <w:tc>
                      <w:tcPr>
                        <w:tcW w:w="7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m</w:t>
                        </w:r>
                      </w:p>
                    </w:tc>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427.13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480" w:hRule="atLeast"/>
                    </w:trPr>
                    <w:tc>
                      <w:tcPr>
                        <w:tcW w:w="3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52 </w:t>
                        </w:r>
                      </w:p>
                    </w:tc>
                    <w:tc>
                      <w:tcPr>
                        <w:tcW w:w="112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电力电缆头</w:t>
                        </w:r>
                      </w:p>
                    </w:tc>
                    <w:tc>
                      <w:tcPr>
                        <w:tcW w:w="438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铜芯电缆终端头10m2以内制安</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上上、特变、远东</w:t>
                        </w:r>
                      </w:p>
                    </w:tc>
                    <w:tc>
                      <w:tcPr>
                        <w:tcW w:w="7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392.00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480" w:hRule="atLeast"/>
                    </w:trPr>
                    <w:tc>
                      <w:tcPr>
                        <w:tcW w:w="3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53 </w:t>
                        </w:r>
                      </w:p>
                    </w:tc>
                    <w:tc>
                      <w:tcPr>
                        <w:tcW w:w="112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电力电缆头</w:t>
                        </w:r>
                      </w:p>
                    </w:tc>
                    <w:tc>
                      <w:tcPr>
                        <w:tcW w:w="438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铜芯电缆终端头25m2以内制安</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上上、特变、远东</w:t>
                        </w:r>
                      </w:p>
                    </w:tc>
                    <w:tc>
                      <w:tcPr>
                        <w:tcW w:w="7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86.00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480" w:hRule="atLeast"/>
                    </w:trPr>
                    <w:tc>
                      <w:tcPr>
                        <w:tcW w:w="3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54 </w:t>
                        </w:r>
                      </w:p>
                    </w:tc>
                    <w:tc>
                      <w:tcPr>
                        <w:tcW w:w="112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电力电缆头</w:t>
                        </w:r>
                      </w:p>
                    </w:tc>
                    <w:tc>
                      <w:tcPr>
                        <w:tcW w:w="438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铜芯电缆终端头35m2以内制安</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上上、特变、远东</w:t>
                        </w:r>
                      </w:p>
                    </w:tc>
                    <w:tc>
                      <w:tcPr>
                        <w:tcW w:w="7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56.00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480" w:hRule="atLeast"/>
                    </w:trPr>
                    <w:tc>
                      <w:tcPr>
                        <w:tcW w:w="3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55 </w:t>
                        </w:r>
                      </w:p>
                    </w:tc>
                    <w:tc>
                      <w:tcPr>
                        <w:tcW w:w="112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电力电缆头</w:t>
                        </w:r>
                      </w:p>
                    </w:tc>
                    <w:tc>
                      <w:tcPr>
                        <w:tcW w:w="438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铜芯电缆终端头120m2以内制安</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上上、特变、远东</w:t>
                        </w:r>
                      </w:p>
                    </w:tc>
                    <w:tc>
                      <w:tcPr>
                        <w:tcW w:w="7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32.00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270" w:hRule="atLeast"/>
                    </w:trPr>
                    <w:tc>
                      <w:tcPr>
                        <w:tcW w:w="3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56 </w:t>
                        </w:r>
                      </w:p>
                    </w:tc>
                    <w:tc>
                      <w:tcPr>
                        <w:tcW w:w="112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控制电缆头</w:t>
                        </w:r>
                      </w:p>
                    </w:tc>
                    <w:tc>
                      <w:tcPr>
                        <w:tcW w:w="438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终端头6芯以下制安</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上上、特变、远东</w:t>
                        </w:r>
                      </w:p>
                    </w:tc>
                    <w:tc>
                      <w:tcPr>
                        <w:tcW w:w="7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6.00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480" w:hRule="atLeast"/>
                    </w:trPr>
                    <w:tc>
                      <w:tcPr>
                        <w:tcW w:w="3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57 </w:t>
                        </w:r>
                      </w:p>
                    </w:tc>
                    <w:tc>
                      <w:tcPr>
                        <w:tcW w:w="112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接线盒</w:t>
                        </w:r>
                      </w:p>
                    </w:tc>
                    <w:tc>
                      <w:tcPr>
                        <w:tcW w:w="438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钢制灯头盒、开关盒、接线盒安装</w:t>
                        </w:r>
                      </w:p>
                    </w:tc>
                    <w:tc>
                      <w:tcPr>
                        <w:tcW w:w="11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7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1891.00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270" w:hRule="atLeast"/>
                    </w:trPr>
                    <w:tc>
                      <w:tcPr>
                        <w:tcW w:w="3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58 </w:t>
                        </w:r>
                      </w:p>
                    </w:tc>
                    <w:tc>
                      <w:tcPr>
                        <w:tcW w:w="112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接地母线</w:t>
                        </w:r>
                      </w:p>
                    </w:tc>
                    <w:tc>
                      <w:tcPr>
                        <w:tcW w:w="438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40*4镀锌扁钢</w:t>
                        </w:r>
                      </w:p>
                    </w:tc>
                    <w:tc>
                      <w:tcPr>
                        <w:tcW w:w="11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7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m</w:t>
                        </w:r>
                      </w:p>
                    </w:tc>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434.06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270" w:hRule="atLeast"/>
                    </w:trPr>
                    <w:tc>
                      <w:tcPr>
                        <w:tcW w:w="3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59 </w:t>
                        </w:r>
                      </w:p>
                    </w:tc>
                    <w:tc>
                      <w:tcPr>
                        <w:tcW w:w="112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送配电装置系统调试</w:t>
                        </w:r>
                      </w:p>
                    </w:tc>
                    <w:tc>
                      <w:tcPr>
                        <w:tcW w:w="438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1KV</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符合验收要求</w:t>
                        </w:r>
                      </w:p>
                    </w:tc>
                    <w:tc>
                      <w:tcPr>
                        <w:tcW w:w="7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系统</w:t>
                        </w:r>
                      </w:p>
                    </w:tc>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13.00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270" w:hRule="atLeast"/>
                    </w:trPr>
                    <w:tc>
                      <w:tcPr>
                        <w:tcW w:w="3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60 </w:t>
                        </w:r>
                      </w:p>
                    </w:tc>
                    <w:tc>
                      <w:tcPr>
                        <w:tcW w:w="112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双电源系统调试</w:t>
                        </w:r>
                      </w:p>
                    </w:tc>
                    <w:tc>
                      <w:tcPr>
                        <w:tcW w:w="438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color w:val="auto"/>
                            <w:sz w:val="20"/>
                            <w:szCs w:val="20"/>
                            <w:highlight w:val="none"/>
                          </w:rPr>
                        </w:pP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符合验收要求</w:t>
                        </w:r>
                      </w:p>
                    </w:tc>
                    <w:tc>
                      <w:tcPr>
                        <w:tcW w:w="7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系统</w:t>
                        </w:r>
                      </w:p>
                    </w:tc>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13.00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270" w:hRule="atLeast"/>
                    </w:trPr>
                    <w:tc>
                      <w:tcPr>
                        <w:tcW w:w="3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61 </w:t>
                        </w:r>
                      </w:p>
                    </w:tc>
                    <w:tc>
                      <w:tcPr>
                        <w:tcW w:w="112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接地装置系统调试</w:t>
                        </w:r>
                      </w:p>
                    </w:tc>
                    <w:tc>
                      <w:tcPr>
                        <w:tcW w:w="438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color w:val="auto"/>
                            <w:sz w:val="20"/>
                            <w:szCs w:val="20"/>
                            <w:highlight w:val="none"/>
                          </w:rPr>
                        </w:pP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符合验收要求</w:t>
                        </w:r>
                      </w:p>
                    </w:tc>
                    <w:tc>
                      <w:tcPr>
                        <w:tcW w:w="7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系统</w:t>
                        </w:r>
                      </w:p>
                    </w:tc>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6.00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270" w:hRule="atLeast"/>
                    </w:trPr>
                    <w:tc>
                      <w:tcPr>
                        <w:tcW w:w="39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 w:val="20"/>
                            <w:szCs w:val="20"/>
                            <w:highlight w:val="none"/>
                          </w:rPr>
                        </w:pPr>
                      </w:p>
                    </w:tc>
                    <w:tc>
                      <w:tcPr>
                        <w:tcW w:w="551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bCs/>
                            <w:color w:val="auto"/>
                            <w:sz w:val="20"/>
                            <w:szCs w:val="20"/>
                            <w:highlight w:val="none"/>
                          </w:rPr>
                        </w:pPr>
                        <w:r>
                          <w:rPr>
                            <w:rFonts w:hint="eastAsia" w:ascii="宋体" w:hAnsi="宋体" w:cs="宋体"/>
                            <w:b/>
                            <w:bCs/>
                            <w:color w:val="auto"/>
                            <w:sz w:val="20"/>
                            <w:szCs w:val="20"/>
                            <w:highlight w:val="none"/>
                            <w:lang w:bidi="ar"/>
                          </w:rPr>
                          <w:t>合计</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 w:val="20"/>
                            <w:szCs w:val="20"/>
                            <w:highlight w:val="none"/>
                          </w:rPr>
                        </w:pPr>
                      </w:p>
                    </w:tc>
                    <w:tc>
                      <w:tcPr>
                        <w:tcW w:w="71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 w:val="20"/>
                            <w:szCs w:val="20"/>
                            <w:highlight w:val="none"/>
                          </w:rPr>
                        </w:pPr>
                      </w:p>
                    </w:tc>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 w:val="20"/>
                            <w:szCs w:val="20"/>
                            <w:highlight w:val="none"/>
                          </w:rPr>
                        </w:pP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bl>
                <w:p>
                  <w:pPr>
                    <w:pStyle w:val="8"/>
                    <w:rPr>
                      <w:color w:val="auto"/>
                      <w:highlight w:val="none"/>
                    </w:rPr>
                  </w:pPr>
                </w:p>
              </w:tc>
            </w:tr>
            <w:tr>
              <w:trPr>
                <w:trHeight w:val="405" w:hRule="atLeast"/>
              </w:trPr>
              <w:tc>
                <w:tcPr>
                  <w:tcW w:w="9525" w:type="dxa"/>
                  <w:tcBorders>
                    <w:top w:val="nil"/>
                    <w:left w:val="nil"/>
                    <w:bottom w:val="nil"/>
                    <w:right w:val="nil"/>
                  </w:tcBorders>
                  <w:vAlign w:val="center"/>
                </w:tcPr>
                <w:p>
                  <w:pPr>
                    <w:widowControl/>
                    <w:jc w:val="center"/>
                    <w:textAlignment w:val="center"/>
                    <w:rPr>
                      <w:rFonts w:hint="eastAsia" w:ascii="宋体" w:hAnsi="宋体" w:cs="宋体"/>
                      <w:b/>
                      <w:bCs/>
                      <w:color w:val="auto"/>
                      <w:sz w:val="32"/>
                      <w:szCs w:val="32"/>
                      <w:highlight w:val="none"/>
                      <w:lang w:bidi="ar"/>
                    </w:rPr>
                  </w:pPr>
                </w:p>
                <w:p>
                  <w:pPr>
                    <w:widowControl/>
                    <w:jc w:val="center"/>
                    <w:textAlignment w:val="center"/>
                    <w:rPr>
                      <w:rFonts w:hint="eastAsia" w:ascii="宋体" w:hAnsi="宋体" w:cs="宋体"/>
                      <w:b/>
                      <w:bCs/>
                      <w:color w:val="auto"/>
                      <w:sz w:val="32"/>
                      <w:szCs w:val="32"/>
                      <w:highlight w:val="none"/>
                      <w:lang w:bidi="ar"/>
                    </w:rPr>
                  </w:pPr>
                </w:p>
                <w:p>
                  <w:pPr>
                    <w:widowControl/>
                    <w:jc w:val="center"/>
                    <w:textAlignment w:val="center"/>
                    <w:rPr>
                      <w:rFonts w:hint="eastAsia" w:ascii="宋体" w:hAnsi="宋体" w:cs="宋体"/>
                      <w:b/>
                      <w:bCs/>
                      <w:color w:val="auto"/>
                      <w:sz w:val="32"/>
                      <w:szCs w:val="32"/>
                      <w:highlight w:val="none"/>
                      <w:lang w:bidi="ar"/>
                    </w:rPr>
                  </w:pPr>
                </w:p>
                <w:p>
                  <w:pPr>
                    <w:widowControl/>
                    <w:jc w:val="center"/>
                    <w:textAlignment w:val="center"/>
                    <w:rPr>
                      <w:rFonts w:ascii="宋体" w:hAnsi="宋体" w:cs="宋体"/>
                      <w:b/>
                      <w:bCs/>
                      <w:color w:val="auto"/>
                      <w:sz w:val="32"/>
                      <w:szCs w:val="32"/>
                      <w:highlight w:val="none"/>
                    </w:rPr>
                  </w:pPr>
                  <w:r>
                    <w:rPr>
                      <w:rFonts w:hint="eastAsia" w:ascii="宋体" w:hAnsi="宋体" w:cs="宋体"/>
                      <w:b/>
                      <w:bCs/>
                      <w:color w:val="auto"/>
                      <w:sz w:val="32"/>
                      <w:szCs w:val="32"/>
                      <w:highlight w:val="none"/>
                      <w:lang w:bidi="ar"/>
                    </w:rPr>
                    <w:t>弱电专项工程清单</w:t>
                  </w:r>
                </w:p>
              </w:tc>
            </w:tr>
            <w:tr>
              <w:tblPrEx>
                <w:tblCellMar>
                  <w:top w:w="0" w:type="dxa"/>
                  <w:left w:w="108" w:type="dxa"/>
                  <w:bottom w:w="0" w:type="dxa"/>
                  <w:right w:w="108" w:type="dxa"/>
                </w:tblCellMar>
              </w:tblPrEx>
              <w:trPr>
                <w:trHeight w:val="405" w:hRule="atLeast"/>
              </w:trPr>
              <w:tc>
                <w:tcPr>
                  <w:tcW w:w="9525" w:type="dxa"/>
                  <w:tcBorders>
                    <w:top w:val="nil"/>
                    <w:left w:val="nil"/>
                    <w:bottom w:val="nil"/>
                    <w:right w:val="nil"/>
                  </w:tcBorders>
                  <w:vAlign w:val="center"/>
                </w:tcPr>
                <w:tbl>
                  <w:tblPr>
                    <w:tblStyle w:val="27"/>
                    <w:tblW w:w="9270" w:type="dxa"/>
                    <w:tblInd w:w="0" w:type="dxa"/>
                    <w:tblLayout w:type="fixed"/>
                    <w:tblCellMar>
                      <w:top w:w="0" w:type="dxa"/>
                      <w:left w:w="108" w:type="dxa"/>
                      <w:bottom w:w="0" w:type="dxa"/>
                      <w:right w:w="108" w:type="dxa"/>
                    </w:tblCellMar>
                  </w:tblPr>
                  <w:tblGrid>
                    <w:gridCol w:w="389"/>
                    <w:gridCol w:w="945"/>
                    <w:gridCol w:w="4478"/>
                    <w:gridCol w:w="1155"/>
                    <w:gridCol w:w="735"/>
                    <w:gridCol w:w="900"/>
                    <w:gridCol w:w="668"/>
                  </w:tblGrid>
                  <w:tr>
                    <w:tblPrEx>
                      <w:tblCellMar>
                        <w:top w:w="0" w:type="dxa"/>
                        <w:left w:w="108" w:type="dxa"/>
                        <w:bottom w:w="0" w:type="dxa"/>
                        <w:right w:w="108" w:type="dxa"/>
                      </w:tblCellMar>
                    </w:tblPrEx>
                    <w:trPr>
                      <w:trHeight w:val="312" w:hRule="atLeast"/>
                    </w:trPr>
                    <w:tc>
                      <w:tcPr>
                        <w:tcW w:w="38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bCs/>
                            <w:color w:val="auto"/>
                            <w:sz w:val="20"/>
                            <w:szCs w:val="20"/>
                            <w:highlight w:val="none"/>
                          </w:rPr>
                        </w:pPr>
                        <w:r>
                          <w:rPr>
                            <w:rFonts w:hint="eastAsia" w:ascii="宋体" w:hAnsi="宋体" w:cs="宋体"/>
                            <w:b/>
                            <w:bCs/>
                            <w:color w:val="auto"/>
                            <w:sz w:val="20"/>
                            <w:szCs w:val="20"/>
                            <w:highlight w:val="none"/>
                            <w:lang w:bidi="ar"/>
                          </w:rPr>
                          <w:t>序号</w:t>
                        </w:r>
                      </w:p>
                    </w:tc>
                    <w:tc>
                      <w:tcPr>
                        <w:tcW w:w="94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bCs/>
                            <w:color w:val="auto"/>
                            <w:sz w:val="20"/>
                            <w:szCs w:val="20"/>
                            <w:highlight w:val="none"/>
                          </w:rPr>
                        </w:pPr>
                        <w:r>
                          <w:rPr>
                            <w:rFonts w:hint="eastAsia" w:ascii="宋体" w:hAnsi="宋体" w:cs="宋体"/>
                            <w:b/>
                            <w:bCs/>
                            <w:color w:val="auto"/>
                            <w:sz w:val="20"/>
                            <w:szCs w:val="20"/>
                            <w:highlight w:val="none"/>
                            <w:lang w:bidi="ar"/>
                          </w:rPr>
                          <w:t>设备、材料名称</w:t>
                        </w:r>
                      </w:p>
                    </w:tc>
                    <w:tc>
                      <w:tcPr>
                        <w:tcW w:w="447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bCs/>
                            <w:color w:val="auto"/>
                            <w:sz w:val="20"/>
                            <w:szCs w:val="20"/>
                            <w:highlight w:val="none"/>
                          </w:rPr>
                        </w:pPr>
                        <w:r>
                          <w:rPr>
                            <w:rFonts w:hint="eastAsia" w:ascii="宋体" w:hAnsi="宋体" w:cs="宋体"/>
                            <w:b/>
                            <w:bCs/>
                            <w:color w:val="auto"/>
                            <w:sz w:val="20"/>
                            <w:szCs w:val="20"/>
                            <w:highlight w:val="none"/>
                            <w:lang w:bidi="ar"/>
                          </w:rPr>
                          <w:t>规格型号</w:t>
                        </w:r>
                      </w:p>
                    </w:tc>
                    <w:tc>
                      <w:tcPr>
                        <w:tcW w:w="115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bCs/>
                            <w:color w:val="auto"/>
                            <w:sz w:val="20"/>
                            <w:szCs w:val="20"/>
                            <w:highlight w:val="none"/>
                          </w:rPr>
                        </w:pPr>
                        <w:r>
                          <w:rPr>
                            <w:rFonts w:hint="eastAsia" w:ascii="宋体" w:hAnsi="宋体" w:cs="宋体"/>
                            <w:b/>
                            <w:bCs/>
                            <w:color w:val="auto"/>
                            <w:sz w:val="20"/>
                            <w:szCs w:val="20"/>
                            <w:highlight w:val="none"/>
                            <w:lang w:val="en-US" w:eastAsia="zh-CN" w:bidi="ar"/>
                          </w:rPr>
                          <w:t>推荐</w:t>
                        </w:r>
                        <w:r>
                          <w:rPr>
                            <w:rFonts w:hint="eastAsia" w:ascii="宋体" w:hAnsi="宋体" w:cs="宋体"/>
                            <w:b/>
                            <w:bCs/>
                            <w:color w:val="auto"/>
                            <w:sz w:val="20"/>
                            <w:szCs w:val="20"/>
                            <w:highlight w:val="none"/>
                            <w:lang w:bidi="ar"/>
                          </w:rPr>
                          <w:t>品牌</w:t>
                        </w:r>
                      </w:p>
                    </w:tc>
                    <w:tc>
                      <w:tcPr>
                        <w:tcW w:w="73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bCs/>
                            <w:color w:val="auto"/>
                            <w:sz w:val="20"/>
                            <w:szCs w:val="20"/>
                            <w:highlight w:val="none"/>
                          </w:rPr>
                        </w:pPr>
                        <w:r>
                          <w:rPr>
                            <w:rFonts w:hint="eastAsia" w:ascii="宋体" w:hAnsi="宋体" w:cs="宋体"/>
                            <w:b/>
                            <w:bCs/>
                            <w:color w:val="auto"/>
                            <w:sz w:val="20"/>
                            <w:szCs w:val="20"/>
                            <w:highlight w:val="none"/>
                            <w:lang w:bidi="ar"/>
                          </w:rPr>
                          <w:t>单位</w:t>
                        </w:r>
                      </w:p>
                    </w:tc>
                    <w:tc>
                      <w:tcPr>
                        <w:tcW w:w="90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bCs/>
                            <w:color w:val="auto"/>
                            <w:sz w:val="20"/>
                            <w:szCs w:val="20"/>
                            <w:highlight w:val="none"/>
                          </w:rPr>
                        </w:pPr>
                        <w:r>
                          <w:rPr>
                            <w:rFonts w:hint="eastAsia" w:ascii="宋体" w:hAnsi="宋体" w:cs="宋体"/>
                            <w:b/>
                            <w:bCs/>
                            <w:color w:val="auto"/>
                            <w:sz w:val="20"/>
                            <w:szCs w:val="20"/>
                            <w:highlight w:val="none"/>
                            <w:lang w:bidi="ar"/>
                          </w:rPr>
                          <w:t>工程量</w:t>
                        </w:r>
                      </w:p>
                    </w:tc>
                    <w:tc>
                      <w:tcPr>
                        <w:tcW w:w="66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bCs/>
                            <w:color w:val="auto"/>
                            <w:sz w:val="20"/>
                            <w:szCs w:val="20"/>
                            <w:highlight w:val="none"/>
                          </w:rPr>
                        </w:pPr>
                        <w:r>
                          <w:rPr>
                            <w:rFonts w:hint="eastAsia" w:ascii="宋体" w:hAnsi="宋体" w:cs="宋体"/>
                            <w:b/>
                            <w:bCs/>
                            <w:color w:val="auto"/>
                            <w:sz w:val="20"/>
                            <w:szCs w:val="20"/>
                            <w:highlight w:val="none"/>
                            <w:lang w:bidi="ar"/>
                          </w:rPr>
                          <w:t>备注</w:t>
                        </w:r>
                      </w:p>
                    </w:tc>
                  </w:tr>
                  <w:tr>
                    <w:tblPrEx>
                      <w:tblCellMar>
                        <w:top w:w="0" w:type="dxa"/>
                        <w:left w:w="108" w:type="dxa"/>
                        <w:bottom w:w="0" w:type="dxa"/>
                        <w:right w:w="108" w:type="dxa"/>
                      </w:tblCellMar>
                    </w:tblPrEx>
                    <w:trPr>
                      <w:trHeight w:val="480" w:hRule="atLeast"/>
                    </w:trPr>
                    <w:tc>
                      <w:tcPr>
                        <w:tcW w:w="38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bCs/>
                            <w:color w:val="auto"/>
                            <w:sz w:val="20"/>
                            <w:szCs w:val="20"/>
                            <w:highlight w:val="none"/>
                          </w:rPr>
                        </w:pPr>
                      </w:p>
                    </w:tc>
                    <w:tc>
                      <w:tcPr>
                        <w:tcW w:w="9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bCs/>
                            <w:color w:val="auto"/>
                            <w:sz w:val="20"/>
                            <w:szCs w:val="20"/>
                            <w:highlight w:val="none"/>
                          </w:rPr>
                        </w:pPr>
                      </w:p>
                    </w:tc>
                    <w:tc>
                      <w:tcPr>
                        <w:tcW w:w="447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bCs/>
                            <w:color w:val="auto"/>
                            <w:sz w:val="20"/>
                            <w:szCs w:val="20"/>
                            <w:highlight w:val="none"/>
                          </w:rPr>
                        </w:pPr>
                      </w:p>
                    </w:tc>
                    <w:tc>
                      <w:tcPr>
                        <w:tcW w:w="115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bCs/>
                            <w:color w:val="auto"/>
                            <w:sz w:val="20"/>
                            <w:szCs w:val="20"/>
                            <w:highlight w:val="none"/>
                          </w:rPr>
                        </w:pPr>
                      </w:p>
                    </w:tc>
                    <w:tc>
                      <w:tcPr>
                        <w:tcW w:w="73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bCs/>
                            <w:color w:val="auto"/>
                            <w:sz w:val="20"/>
                            <w:szCs w:val="20"/>
                            <w:highlight w:val="none"/>
                          </w:rPr>
                        </w:pPr>
                      </w:p>
                    </w:tc>
                    <w:tc>
                      <w:tcPr>
                        <w:tcW w:w="9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bCs/>
                            <w:color w:val="auto"/>
                            <w:sz w:val="20"/>
                            <w:szCs w:val="20"/>
                            <w:highlight w:val="none"/>
                          </w:rPr>
                        </w:pPr>
                      </w:p>
                    </w:tc>
                    <w:tc>
                      <w:tcPr>
                        <w:tcW w:w="66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bCs/>
                            <w:color w:val="auto"/>
                            <w:sz w:val="20"/>
                            <w:szCs w:val="20"/>
                            <w:highlight w:val="none"/>
                          </w:rPr>
                        </w:pPr>
                      </w:p>
                    </w:tc>
                  </w:tr>
                  <w:tr>
                    <w:tblPrEx>
                      <w:tblCellMar>
                        <w:top w:w="0" w:type="dxa"/>
                        <w:left w:w="108" w:type="dxa"/>
                        <w:bottom w:w="0" w:type="dxa"/>
                        <w:right w:w="108" w:type="dxa"/>
                      </w:tblCellMar>
                    </w:tblPrEx>
                    <w:trPr>
                      <w:trHeight w:val="270" w:hRule="atLeast"/>
                    </w:trPr>
                    <w:tc>
                      <w:tcPr>
                        <w:tcW w:w="7702"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 w:val="18"/>
                            <w:szCs w:val="18"/>
                            <w:highlight w:val="none"/>
                          </w:rPr>
                        </w:pP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 w:val="18"/>
                            <w:szCs w:val="18"/>
                            <w:highlight w:val="none"/>
                          </w:rPr>
                        </w:pPr>
                      </w:p>
                    </w:tc>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Arial Narrow" w:hAnsi="Arial Narrow" w:eastAsia="Arial Narrow" w:cs="Arial Narrow"/>
                            <w:color w:val="auto"/>
                            <w:sz w:val="18"/>
                            <w:szCs w:val="18"/>
                            <w:highlight w:val="none"/>
                          </w:rPr>
                        </w:pPr>
                      </w:p>
                    </w:tc>
                  </w:tr>
                  <w:tr>
                    <w:tblPrEx>
                      <w:tblCellMar>
                        <w:top w:w="0" w:type="dxa"/>
                        <w:left w:w="108" w:type="dxa"/>
                        <w:bottom w:w="0" w:type="dxa"/>
                        <w:right w:w="108" w:type="dxa"/>
                      </w:tblCellMar>
                    </w:tblPrEx>
                    <w:trPr>
                      <w:trHeight w:val="480"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b/>
                            <w:bCs/>
                            <w:color w:val="auto"/>
                            <w:sz w:val="20"/>
                            <w:szCs w:val="20"/>
                            <w:highlight w:val="none"/>
                          </w:rPr>
                        </w:pPr>
                        <w:r>
                          <w:rPr>
                            <w:rFonts w:hint="eastAsia" w:ascii="宋体" w:hAnsi="宋体" w:cs="宋体"/>
                            <w:b/>
                            <w:bCs/>
                            <w:color w:val="auto"/>
                            <w:sz w:val="20"/>
                            <w:szCs w:val="20"/>
                            <w:highlight w:val="none"/>
                            <w:lang w:bidi="ar"/>
                          </w:rPr>
                          <w:t>一</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b/>
                            <w:bCs/>
                            <w:color w:val="auto"/>
                            <w:sz w:val="20"/>
                            <w:szCs w:val="20"/>
                            <w:highlight w:val="none"/>
                          </w:rPr>
                        </w:pPr>
                        <w:r>
                          <w:rPr>
                            <w:rFonts w:hint="eastAsia" w:ascii="宋体" w:hAnsi="宋体" w:cs="宋体"/>
                            <w:b/>
                            <w:bCs/>
                            <w:color w:val="auto"/>
                            <w:sz w:val="20"/>
                            <w:szCs w:val="20"/>
                            <w:highlight w:val="none"/>
                            <w:lang w:bidi="ar"/>
                          </w:rPr>
                          <w:t>桥架、线、管</w:t>
                        </w:r>
                      </w:p>
                    </w:tc>
                    <w:tc>
                      <w:tcPr>
                        <w:tcW w:w="447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b/>
                            <w:bCs/>
                            <w:color w:val="auto"/>
                            <w:sz w:val="20"/>
                            <w:szCs w:val="20"/>
                            <w:highlight w:val="none"/>
                          </w:rPr>
                        </w:pPr>
                      </w:p>
                    </w:tc>
                    <w:tc>
                      <w:tcPr>
                        <w:tcW w:w="115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bCs/>
                            <w:color w:val="auto"/>
                            <w:sz w:val="20"/>
                            <w:szCs w:val="20"/>
                            <w:highlight w:val="none"/>
                          </w:rPr>
                        </w:pP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b/>
                            <w:bCs/>
                            <w:color w:val="auto"/>
                            <w:sz w:val="20"/>
                            <w:szCs w:val="20"/>
                            <w:highlight w:val="none"/>
                          </w:rPr>
                        </w:pP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b/>
                            <w:bCs/>
                            <w:color w:val="auto"/>
                            <w:sz w:val="20"/>
                            <w:szCs w:val="20"/>
                            <w:highlight w:val="none"/>
                          </w:rPr>
                        </w:pPr>
                      </w:p>
                    </w:tc>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Arial Narrow" w:hAnsi="Arial Narrow" w:eastAsia="Arial Narrow" w:cs="Arial Narrow"/>
                            <w:b/>
                            <w:bCs/>
                            <w:color w:val="auto"/>
                            <w:sz w:val="20"/>
                            <w:szCs w:val="20"/>
                            <w:highlight w:val="none"/>
                          </w:rPr>
                        </w:pPr>
                      </w:p>
                    </w:tc>
                  </w:tr>
                  <w:tr>
                    <w:tblPrEx>
                      <w:tblCellMar>
                        <w:top w:w="0" w:type="dxa"/>
                        <w:left w:w="108" w:type="dxa"/>
                        <w:bottom w:w="0" w:type="dxa"/>
                        <w:right w:w="108" w:type="dxa"/>
                      </w:tblCellMar>
                    </w:tblPrEx>
                    <w:trPr>
                      <w:trHeight w:val="1134"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 </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热镀锌槽式桥架</w:t>
                        </w:r>
                      </w:p>
                    </w:tc>
                    <w:tc>
                      <w:tcPr>
                        <w:tcW w:w="4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100*50，含盖板、桥架、热浸锌吊支架及其接地；配件制作安装；桥架跨接；厚度满足相关规范要求</w:t>
                        </w:r>
                      </w:p>
                    </w:tc>
                    <w:tc>
                      <w:tcPr>
                        <w:tcW w:w="11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m</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30.42 </w:t>
                        </w:r>
                      </w:p>
                    </w:tc>
                    <w:tc>
                      <w:tcPr>
                        <w:tcW w:w="668"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134"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 </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热镀锌槽式桥架</w:t>
                        </w:r>
                      </w:p>
                    </w:tc>
                    <w:tc>
                      <w:tcPr>
                        <w:tcW w:w="4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100*75，含盖板、桥架、热浸锌吊支架及其接地；配件制作安装；桥架跨接；厚度满足相关规范要求</w:t>
                        </w:r>
                      </w:p>
                    </w:tc>
                    <w:tc>
                      <w:tcPr>
                        <w:tcW w:w="11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m</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185.05 </w:t>
                        </w:r>
                      </w:p>
                    </w:tc>
                    <w:tc>
                      <w:tcPr>
                        <w:tcW w:w="668"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134"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3 </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热镀锌槽式桥架</w:t>
                        </w:r>
                      </w:p>
                    </w:tc>
                    <w:tc>
                      <w:tcPr>
                        <w:tcW w:w="4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150*75，含盖板、桥架、热浸锌吊支架及其接地；配件制作安装；桥架跨接；厚度满足相关规范要求</w:t>
                        </w:r>
                      </w:p>
                    </w:tc>
                    <w:tc>
                      <w:tcPr>
                        <w:tcW w:w="11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m</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111.42 </w:t>
                        </w:r>
                      </w:p>
                    </w:tc>
                    <w:tc>
                      <w:tcPr>
                        <w:tcW w:w="668"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134"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4 </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热镀锌槽式桥架</w:t>
                        </w:r>
                      </w:p>
                    </w:tc>
                    <w:tc>
                      <w:tcPr>
                        <w:tcW w:w="4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200*100，含盖板、桥架、热浸锌吊支架及其接地；配件制作安装；桥架跨接；厚度满足相关规范要求</w:t>
                        </w:r>
                      </w:p>
                    </w:tc>
                    <w:tc>
                      <w:tcPr>
                        <w:tcW w:w="11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m</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109.38 </w:t>
                        </w:r>
                      </w:p>
                    </w:tc>
                    <w:tc>
                      <w:tcPr>
                        <w:tcW w:w="668"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134"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5 </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热镀锌槽式桥架</w:t>
                        </w:r>
                      </w:p>
                    </w:tc>
                    <w:tc>
                      <w:tcPr>
                        <w:tcW w:w="4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300*100，含盖板、桥架、热浸锌吊支架及其接地；配件制作安装；桥架跨接；厚度满足相关规范要求</w:t>
                        </w:r>
                      </w:p>
                    </w:tc>
                    <w:tc>
                      <w:tcPr>
                        <w:tcW w:w="11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m</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198.05 </w:t>
                        </w:r>
                      </w:p>
                    </w:tc>
                    <w:tc>
                      <w:tcPr>
                        <w:tcW w:w="668"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134"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6 </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热镀锌槽式桥架</w:t>
                        </w:r>
                      </w:p>
                    </w:tc>
                    <w:tc>
                      <w:tcPr>
                        <w:tcW w:w="4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400*100，含盖板、桥架、热浸锌吊支架及其接地；配件制作安装；桥架跨接；厚度满足相关规范要求</w:t>
                        </w:r>
                      </w:p>
                    </w:tc>
                    <w:tc>
                      <w:tcPr>
                        <w:tcW w:w="11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m</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7.18 </w:t>
                        </w:r>
                      </w:p>
                    </w:tc>
                    <w:tc>
                      <w:tcPr>
                        <w:tcW w:w="668"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480"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b/>
                            <w:bCs/>
                            <w:color w:val="auto"/>
                            <w:sz w:val="20"/>
                            <w:szCs w:val="20"/>
                            <w:highlight w:val="none"/>
                          </w:rPr>
                        </w:pPr>
                        <w:r>
                          <w:rPr>
                            <w:rFonts w:hint="eastAsia" w:ascii="宋体" w:hAnsi="宋体" w:cs="宋体"/>
                            <w:b/>
                            <w:bCs/>
                            <w:color w:val="auto"/>
                            <w:sz w:val="20"/>
                            <w:szCs w:val="20"/>
                            <w:highlight w:val="none"/>
                            <w:lang w:bidi="ar"/>
                          </w:rPr>
                          <w:t>二</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b/>
                            <w:bCs/>
                            <w:color w:val="auto"/>
                            <w:sz w:val="20"/>
                            <w:szCs w:val="20"/>
                            <w:highlight w:val="none"/>
                          </w:rPr>
                        </w:pPr>
                        <w:r>
                          <w:rPr>
                            <w:rFonts w:hint="eastAsia" w:ascii="宋体" w:hAnsi="宋体" w:cs="宋体"/>
                            <w:b/>
                            <w:bCs/>
                            <w:color w:val="auto"/>
                            <w:sz w:val="20"/>
                            <w:szCs w:val="20"/>
                            <w:highlight w:val="none"/>
                            <w:lang w:bidi="ar"/>
                          </w:rPr>
                          <w:t>网络电话系统</w:t>
                        </w:r>
                      </w:p>
                    </w:tc>
                    <w:tc>
                      <w:tcPr>
                        <w:tcW w:w="447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color w:val="auto"/>
                            <w:sz w:val="20"/>
                            <w:szCs w:val="20"/>
                            <w:highlight w:val="none"/>
                          </w:rPr>
                        </w:pPr>
                      </w:p>
                    </w:tc>
                    <w:tc>
                      <w:tcPr>
                        <w:tcW w:w="115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 w:val="20"/>
                            <w:szCs w:val="20"/>
                            <w:highlight w:val="none"/>
                          </w:rPr>
                        </w:pP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auto"/>
                            <w:sz w:val="20"/>
                            <w:szCs w:val="20"/>
                            <w:highlight w:val="none"/>
                          </w:rPr>
                        </w:pP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auto"/>
                            <w:sz w:val="20"/>
                            <w:szCs w:val="20"/>
                            <w:highlight w:val="none"/>
                          </w:rPr>
                        </w:pPr>
                      </w:p>
                    </w:tc>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Arial Narrow" w:hAnsi="Arial Narrow" w:eastAsia="Arial Narrow" w:cs="Arial Narrow"/>
                            <w:color w:val="auto"/>
                            <w:sz w:val="20"/>
                            <w:szCs w:val="20"/>
                            <w:highlight w:val="none"/>
                          </w:rPr>
                        </w:pPr>
                      </w:p>
                    </w:tc>
                  </w:tr>
                  <w:tr>
                    <w:tblPrEx>
                      <w:tblCellMar>
                        <w:top w:w="0" w:type="dxa"/>
                        <w:left w:w="108" w:type="dxa"/>
                        <w:bottom w:w="0" w:type="dxa"/>
                        <w:right w:w="108" w:type="dxa"/>
                      </w:tblCellMar>
                    </w:tblPrEx>
                    <w:trPr>
                      <w:trHeight w:val="1340"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 </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4芯单模光纤点</w:t>
                        </w:r>
                      </w:p>
                    </w:tc>
                    <w:tc>
                      <w:tcPr>
                        <w:tcW w:w="447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color w:val="auto"/>
                            <w:sz w:val="20"/>
                            <w:szCs w:val="20"/>
                            <w:highlight w:val="none"/>
                          </w:rPr>
                        </w:pPr>
                      </w:p>
                    </w:tc>
                    <w:tc>
                      <w:tcPr>
                        <w:tcW w:w="11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美国西蒙、康普、泛达、罗格朗</w:t>
                        </w: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22.00 </w:t>
                        </w:r>
                      </w:p>
                    </w:tc>
                    <w:tc>
                      <w:tcPr>
                        <w:tcW w:w="668"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701"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 </w:t>
                        </w:r>
                      </w:p>
                    </w:tc>
                    <w:tc>
                      <w:tcPr>
                        <w:tcW w:w="945" w:type="dxa"/>
                        <w:tcBorders>
                          <w:top w:val="nil"/>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IPTV电视插座</w:t>
                        </w:r>
                      </w:p>
                    </w:tc>
                    <w:tc>
                      <w:tcPr>
                        <w:tcW w:w="4478" w:type="dxa"/>
                        <w:tcBorders>
                          <w:top w:val="nil"/>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1).方形 86 式双层面板结构单孔网络面板，安装螺丝孔不得外露；</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2).白色,自带可更换式标签；布线原厂产品。面板光纤接头型号为一头SC/APC，另一头SC/PC</w:t>
                        </w:r>
                      </w:p>
                    </w:tc>
                    <w:tc>
                      <w:tcPr>
                        <w:tcW w:w="11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735" w:type="dxa"/>
                        <w:tcBorders>
                          <w:top w:val="nil"/>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00" w:type="dxa"/>
                        <w:tcBorders>
                          <w:top w:val="nil"/>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6.00 </w:t>
                        </w:r>
                      </w:p>
                    </w:tc>
                    <w:tc>
                      <w:tcPr>
                        <w:tcW w:w="668"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2268"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3 </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单孔数据插座(内网)</w:t>
                        </w:r>
                      </w:p>
                    </w:tc>
                    <w:tc>
                      <w:tcPr>
                        <w:tcW w:w="4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1.86*86型面板提供单口，双口，四口可以配套86型底盒使用；颜色：哑光灰白色，不易脏。</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2.面板不带防尘盖，可以兼容相同品牌的全系列信息模块。如光纤到桌面耦合器等等。</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3.材质采用耐燃ABS工程塑料。</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4.透明标示窗，适用多款专用标示带，使标示文字更清楚，标示程序更简易。</w:t>
                        </w:r>
                      </w:p>
                    </w:tc>
                    <w:tc>
                      <w:tcPr>
                        <w:tcW w:w="11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美国西蒙、康普、泛达、罗格朗</w:t>
                        </w: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58.00 </w:t>
                        </w:r>
                      </w:p>
                    </w:tc>
                    <w:tc>
                      <w:tcPr>
                        <w:tcW w:w="668"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2268"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4 </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双孔数据插座(内网)</w:t>
                        </w:r>
                      </w:p>
                    </w:tc>
                    <w:tc>
                      <w:tcPr>
                        <w:tcW w:w="4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1.86*86型面板提供单口，双口，四口可以配套86型底盒使用；颜色：哑光灰白色，不易脏。</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2.面板不带防尘盖，可以兼容相同品牌的全系列信息模块。如光纤到桌面耦合器等等。</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3.材质采用耐燃ABS工程塑料。</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4.透明标示窗，适用多款专用标示带，使标示文字更清楚，标示程序更简易。</w:t>
                        </w:r>
                      </w:p>
                    </w:tc>
                    <w:tc>
                      <w:tcPr>
                        <w:tcW w:w="11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美国西蒙、康普、泛达、罗格朗</w:t>
                        </w: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129.00 </w:t>
                        </w:r>
                      </w:p>
                    </w:tc>
                    <w:tc>
                      <w:tcPr>
                        <w:tcW w:w="668"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2268"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5 </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双口(内网+电话)插座</w:t>
                        </w:r>
                      </w:p>
                    </w:tc>
                    <w:tc>
                      <w:tcPr>
                        <w:tcW w:w="4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1.86*86型面板提供单口，双口，四口可以配套86型底盒使用；颜色：哑光灰白色，不易脏。</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2.面板不带防尘盖，可以兼容相同品牌的全系列信息模块。如光纤到桌面耦合器等等。</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3.材质采用耐燃ABS工程塑料。</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4.透明标示窗，适用多款专用标示带，使标示文字更清楚，标示程序更简易。</w:t>
                        </w:r>
                      </w:p>
                    </w:tc>
                    <w:tc>
                      <w:tcPr>
                        <w:tcW w:w="11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美国西蒙、康普、泛达、罗格朗</w:t>
                        </w: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54.00 </w:t>
                        </w:r>
                      </w:p>
                    </w:tc>
                    <w:tc>
                      <w:tcPr>
                        <w:tcW w:w="668"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300"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6 </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免提电话</w:t>
                        </w:r>
                      </w:p>
                    </w:tc>
                    <w:tc>
                      <w:tcPr>
                        <w:tcW w:w="447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color w:val="auto"/>
                            <w:sz w:val="20"/>
                            <w:szCs w:val="20"/>
                            <w:highlight w:val="none"/>
                          </w:rPr>
                        </w:pPr>
                      </w:p>
                    </w:tc>
                    <w:tc>
                      <w:tcPr>
                        <w:tcW w:w="11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美国西蒙、康普、泛达、罗格朗</w:t>
                        </w: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68"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300"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7 </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电视线</w:t>
                        </w:r>
                      </w:p>
                    </w:tc>
                    <w:tc>
                      <w:tcPr>
                        <w:tcW w:w="4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WDZ-SYWV-75，敷设方式：桥架、配管内</w:t>
                        </w:r>
                      </w:p>
                    </w:tc>
                    <w:tc>
                      <w:tcPr>
                        <w:tcW w:w="11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美国西蒙、康普、泛达、罗格朗</w:t>
                        </w: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m</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701.48 </w:t>
                        </w:r>
                      </w:p>
                    </w:tc>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Arial Narrow" w:hAnsi="Arial Narrow" w:eastAsia="Arial Narrow" w:cs="Arial Narrow"/>
                            <w:color w:val="auto"/>
                            <w:sz w:val="20"/>
                            <w:szCs w:val="20"/>
                            <w:highlight w:val="none"/>
                          </w:rPr>
                        </w:pPr>
                      </w:p>
                    </w:tc>
                  </w:tr>
                  <w:tr>
                    <w:tblPrEx>
                      <w:tblCellMar>
                        <w:top w:w="0" w:type="dxa"/>
                        <w:left w:w="108" w:type="dxa"/>
                        <w:bottom w:w="0" w:type="dxa"/>
                        <w:right w:w="108" w:type="dxa"/>
                      </w:tblCellMar>
                    </w:tblPrEx>
                    <w:trPr>
                      <w:trHeight w:val="1300"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8 </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网线</w:t>
                        </w:r>
                      </w:p>
                    </w:tc>
                    <w:tc>
                      <w:tcPr>
                        <w:tcW w:w="4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Cat6-4PrUTP，敷设方式：桥架、配管内</w:t>
                        </w:r>
                      </w:p>
                    </w:tc>
                    <w:tc>
                      <w:tcPr>
                        <w:tcW w:w="11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美国西蒙、康普、泛达、罗格朗</w:t>
                        </w: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m</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23536.67 </w:t>
                        </w:r>
                      </w:p>
                    </w:tc>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Arial Narrow" w:hAnsi="Arial Narrow" w:eastAsia="Arial Narrow" w:cs="Arial Narrow"/>
                            <w:color w:val="auto"/>
                            <w:sz w:val="20"/>
                            <w:szCs w:val="20"/>
                            <w:highlight w:val="none"/>
                          </w:rPr>
                        </w:pPr>
                      </w:p>
                    </w:tc>
                  </w:tr>
                  <w:tr>
                    <w:tblPrEx>
                      <w:tblCellMar>
                        <w:top w:w="0" w:type="dxa"/>
                        <w:left w:w="108" w:type="dxa"/>
                        <w:bottom w:w="0" w:type="dxa"/>
                        <w:right w:w="108" w:type="dxa"/>
                      </w:tblCellMar>
                    </w:tblPrEx>
                    <w:trPr>
                      <w:trHeight w:val="1300"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9 </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光纤</w:t>
                        </w:r>
                      </w:p>
                    </w:tc>
                    <w:tc>
                      <w:tcPr>
                        <w:tcW w:w="4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4芯多模光纤，敷设方式：桥架、配管内</w:t>
                        </w:r>
                      </w:p>
                    </w:tc>
                    <w:tc>
                      <w:tcPr>
                        <w:tcW w:w="11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美国西蒙、康普、泛达、罗格朗</w:t>
                        </w: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m</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1530.95 </w:t>
                        </w:r>
                      </w:p>
                    </w:tc>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Arial Narrow" w:hAnsi="Arial Narrow" w:eastAsia="Arial Narrow" w:cs="Arial Narrow"/>
                            <w:color w:val="auto"/>
                            <w:sz w:val="20"/>
                            <w:szCs w:val="20"/>
                            <w:highlight w:val="none"/>
                          </w:rPr>
                        </w:pPr>
                      </w:p>
                    </w:tc>
                  </w:tr>
                  <w:tr>
                    <w:tblPrEx>
                      <w:tblCellMar>
                        <w:top w:w="0" w:type="dxa"/>
                        <w:left w:w="108" w:type="dxa"/>
                        <w:bottom w:w="0" w:type="dxa"/>
                        <w:right w:w="108" w:type="dxa"/>
                      </w:tblCellMar>
                    </w:tblPrEx>
                    <w:trPr>
                      <w:trHeight w:val="1440"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 </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线管</w:t>
                        </w:r>
                      </w:p>
                    </w:tc>
                    <w:tc>
                      <w:tcPr>
                        <w:tcW w:w="4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JDG20，配置形式及部位：砖、混凝土结构明暗配；含热浸锌吊支架、接地及防腐等；开槽补槽粉刷等一切相关费用</w:t>
                        </w:r>
                      </w:p>
                    </w:tc>
                    <w:tc>
                      <w:tcPr>
                        <w:tcW w:w="11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m</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2682.53 </w:t>
                        </w:r>
                      </w:p>
                    </w:tc>
                    <w:tc>
                      <w:tcPr>
                        <w:tcW w:w="668"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560"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11 </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线管</w:t>
                        </w:r>
                      </w:p>
                    </w:tc>
                    <w:tc>
                      <w:tcPr>
                        <w:tcW w:w="4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JDG25，配置形式及部位：砖、混凝土结构明暗配；含热浸锌吊支架、接地及防腐等；开槽补槽粉刷等一切相关费用</w:t>
                        </w:r>
                      </w:p>
                    </w:tc>
                    <w:tc>
                      <w:tcPr>
                        <w:tcW w:w="11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m</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63.72 </w:t>
                        </w:r>
                      </w:p>
                    </w:tc>
                    <w:tc>
                      <w:tcPr>
                        <w:tcW w:w="668"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480"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12 </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接线盒</w:t>
                        </w:r>
                      </w:p>
                    </w:tc>
                    <w:tc>
                      <w:tcPr>
                        <w:tcW w:w="4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钢制接线盒、过线盒安装</w:t>
                        </w:r>
                      </w:p>
                    </w:tc>
                    <w:tc>
                      <w:tcPr>
                        <w:tcW w:w="11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305.00 </w:t>
                        </w:r>
                      </w:p>
                    </w:tc>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Arial Narrow" w:hAnsi="Arial Narrow" w:eastAsia="Arial Narrow" w:cs="Arial Narrow"/>
                            <w:color w:val="auto"/>
                            <w:sz w:val="20"/>
                            <w:szCs w:val="20"/>
                            <w:highlight w:val="none"/>
                          </w:rPr>
                        </w:pPr>
                      </w:p>
                    </w:tc>
                  </w:tr>
                  <w:tr>
                    <w:tblPrEx>
                      <w:tblCellMar>
                        <w:top w:w="0" w:type="dxa"/>
                        <w:left w:w="108" w:type="dxa"/>
                        <w:bottom w:w="0" w:type="dxa"/>
                        <w:right w:w="108" w:type="dxa"/>
                      </w:tblCellMar>
                    </w:tblPrEx>
                    <w:trPr>
                      <w:trHeight w:val="480"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b/>
                            <w:bCs/>
                            <w:color w:val="auto"/>
                            <w:sz w:val="20"/>
                            <w:szCs w:val="20"/>
                            <w:highlight w:val="none"/>
                          </w:rPr>
                        </w:pPr>
                        <w:r>
                          <w:rPr>
                            <w:rFonts w:hint="eastAsia" w:ascii="宋体" w:hAnsi="宋体" w:cs="宋体"/>
                            <w:b/>
                            <w:bCs/>
                            <w:color w:val="auto"/>
                            <w:sz w:val="20"/>
                            <w:szCs w:val="20"/>
                            <w:highlight w:val="none"/>
                            <w:lang w:bidi="ar"/>
                          </w:rPr>
                          <w:t>三</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b/>
                            <w:bCs/>
                            <w:color w:val="auto"/>
                            <w:sz w:val="20"/>
                            <w:szCs w:val="20"/>
                            <w:highlight w:val="none"/>
                          </w:rPr>
                        </w:pPr>
                        <w:r>
                          <w:rPr>
                            <w:rFonts w:hint="eastAsia" w:ascii="宋体" w:hAnsi="宋体" w:cs="宋体"/>
                            <w:b/>
                            <w:bCs/>
                            <w:color w:val="auto"/>
                            <w:sz w:val="20"/>
                            <w:szCs w:val="20"/>
                            <w:highlight w:val="none"/>
                            <w:lang w:bidi="ar"/>
                          </w:rPr>
                          <w:t>背景音乐系统</w:t>
                        </w:r>
                      </w:p>
                    </w:tc>
                    <w:tc>
                      <w:tcPr>
                        <w:tcW w:w="447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color w:val="auto"/>
                            <w:sz w:val="20"/>
                            <w:szCs w:val="20"/>
                            <w:highlight w:val="none"/>
                          </w:rPr>
                        </w:pPr>
                      </w:p>
                    </w:tc>
                    <w:tc>
                      <w:tcPr>
                        <w:tcW w:w="115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 w:val="20"/>
                            <w:szCs w:val="20"/>
                            <w:highlight w:val="none"/>
                          </w:rPr>
                        </w:pP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auto"/>
                            <w:sz w:val="20"/>
                            <w:szCs w:val="20"/>
                            <w:highlight w:val="none"/>
                          </w:rPr>
                        </w:pP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auto"/>
                            <w:sz w:val="20"/>
                            <w:szCs w:val="20"/>
                            <w:highlight w:val="none"/>
                          </w:rPr>
                        </w:pPr>
                      </w:p>
                    </w:tc>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Arial Narrow" w:hAnsi="Arial Narrow" w:eastAsia="Arial Narrow" w:cs="Arial Narrow"/>
                            <w:color w:val="auto"/>
                            <w:sz w:val="20"/>
                            <w:szCs w:val="20"/>
                            <w:highlight w:val="none"/>
                          </w:rPr>
                        </w:pPr>
                      </w:p>
                    </w:tc>
                  </w:tr>
                  <w:tr>
                    <w:tblPrEx>
                      <w:tblCellMar>
                        <w:top w:w="0" w:type="dxa"/>
                        <w:left w:w="108" w:type="dxa"/>
                        <w:bottom w:w="0" w:type="dxa"/>
                        <w:right w:w="108" w:type="dxa"/>
                      </w:tblCellMar>
                    </w:tblPrEx>
                    <w:trPr>
                      <w:trHeight w:val="3545"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 </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扬声器</w:t>
                        </w:r>
                      </w:p>
                    </w:tc>
                    <w:tc>
                      <w:tcPr>
                        <w:tcW w:w="4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1、天花扬声器 工作电压70/100V，功率3~6W（多个配接端子），适应不同场合；</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最大声压级97±2dB，</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有效频率范围75Hz~20kHz;</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重0.8kg，强力活动夹设计，安装方便；</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铝合金材质网罩，永不生锈；优质工程塑料注塑成型，经久耐用，不变形，不褪色；</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扬声器悬边阻尼处理，寿命长，</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灵敏度高（91±2dB），声音清晰、音质好，明亮；</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单元尺寸4.5"x1</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开孔尺寸Ø154-Ø164mm</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尺寸80xØ180mm</w:t>
                        </w:r>
                      </w:p>
                    </w:tc>
                    <w:tc>
                      <w:tcPr>
                        <w:tcW w:w="11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BOSCH、霍尼韦尔（TK-AUDIO）、TOA、TAIDEN</w:t>
                        </w: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46.00 </w:t>
                        </w:r>
                      </w:p>
                    </w:tc>
                    <w:tc>
                      <w:tcPr>
                        <w:tcW w:w="668"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920"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 </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音量控制器</w:t>
                        </w:r>
                      </w:p>
                    </w:tc>
                    <w:tc>
                      <w:tcPr>
                        <w:tcW w:w="4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1、音量控制器 6W音控，可扩展至30、60、120、200W。</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线制：2，3，4.</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尺寸：85*85*60mm。</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兼有强插输入和音量控制两种功能。</w:t>
                        </w:r>
                      </w:p>
                    </w:tc>
                    <w:tc>
                      <w:tcPr>
                        <w:tcW w:w="11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BOSCH、霍尼韦尔（TK-AUDIO）、TOA、TAIDEN</w:t>
                        </w: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27.00 </w:t>
                        </w:r>
                      </w:p>
                    </w:tc>
                    <w:tc>
                      <w:tcPr>
                        <w:tcW w:w="668"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3780"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3 </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呼叫话筒</w:t>
                        </w:r>
                      </w:p>
                    </w:tc>
                    <w:tc>
                      <w:tcPr>
                        <w:tcW w:w="4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1、广播寻呼话筒 操作便捷，适应不同；</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支持终端即插即用；</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具有延时自动关闭功能；</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可弯曲式话筒。话筒输出电压600mV±10mV或20mV±10%（非平衡）</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钟声额定输出电压600mV±10mV或20mV±10%</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输出钟声种类CHIMEUP：上音符1-3-5-і-CHIMEDOWN：下音符i-5-3-1-</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频率范围100Hz-15kHz</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失真度MIC：≤1%</w:t>
                        </w:r>
                      </w:p>
                    </w:tc>
                    <w:tc>
                      <w:tcPr>
                        <w:tcW w:w="11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BOSCH、霍尼韦尔（TK-AUDIO）、TOA、TAIDEN</w:t>
                        </w: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2.00 </w:t>
                        </w:r>
                      </w:p>
                    </w:tc>
                    <w:tc>
                      <w:tcPr>
                        <w:tcW w:w="668"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8180"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4 </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前置六分区定压功放</w:t>
                        </w:r>
                      </w:p>
                    </w:tc>
                    <w:tc>
                      <w:tcPr>
                        <w:tcW w:w="4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1、500W网络化播放功放 采用高档铝合金拉丝面板制造。</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可挂接在网络到达的任何地方，采用自主研发的网络传输协议，动态音频数据传输。双网络接口冗余设计，可跨网段工作。</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内置高效率数字功放，100V定压输出，效率高达90%以上。</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自带MP3播放器，设有USB插口、SD插口，用以播放本地节目。</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功放额定输出功率：500W</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醒目的数码显示屏设计，既可显示时钟时间，也可显示播放进度时间。</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具有时间帧同步机制，本机时钟与网络化主机时钟实时同步。</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内置红外接收模块，可通过红外线遥控器控制，方便易用。</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面板集成5个状态指示灯，工作状态一目了然。</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面板装有8个快捷按键，方便本地用户日常使用。</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内置脱机本地定时点播放功能，定时节目备份存储到SD卡里，并全自动备份定时点节目。</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外置一路AUX线路输入、一路话筒输入、一路AUX线路输出，方便扩展本地其它音源广播，与本地功率扩展。</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具有8级以上优先级管理功能，本地话筒带有默音调节电位器，默音电平量可调节。</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外置EMC24V与短路干触点两种强播输出接口，可连接扬声器音控器使用，或连接智能电源。</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带有周边设备扩展接口，可外接86盒点播彩屏，可外接双86盒的求助对讲面板、两用对讲面板，也可以连接蓝牙音频接收器。</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点播功能：连接86盒点播彩屏后，可实现本地点播主机的海量节目库。</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寻呼功能：连接86盒点播彩屏后，可对选定的分区实时寻呼。</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对讲功能：连接求助对讲面板后，可实现求助对讲功能。</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蓝牙音频接收功能：连接蓝牙扩展器后可接收蓝牙音频，方便学校、商场等利用蓝牙无线话筒实现本地无线话筒扩声。</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外接线路输入与网络播放节目源是混合的关系，本地话筒与AUX输入通过检测输入信号的大小而打开功放。</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可定制联动触发功能，可定制100V本地紧急线路输入，方便接入消防本地广播系统。</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具有网络播放功能，可播放网络化主机下发的节目源或网络化音频采集器的音频流。</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可播放来自系统主机的背景音乐、紧急寻呼、告警信号等，网络节目源具有7级以上优先等级管理功能，分为背景广播、业务广播、紧急广播三大类。</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采用高保真CD音质的解码芯片，最大支持48KHZ采样率16bit的MP3/WMA/WAV/PCM音频流数据解码。</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全数字化设计，高性能，高保真，语音传输指数高等优点。</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内置看门狗功能，有效保障设备的正常运行。</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采用工业级芯片设计，工作环境温度广，适合室外安装与使用。</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内置DSP音效处理芯片，具有高、低音调调节功能，更适用于不同环境的补偿，让广播指标进一步提升。</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采用高性能的网络处理芯片，自主研发的实时操作系统，开机启动时间&lt;0.1S，与网络化主机连线时间&lt;2S，实时性强，播放实时节目延时&lt;0.2S.</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自主研发的实时操作系统，实时性强，多台网络播放器广播节目播放声音实时同步，之间基本没有任何时间差异。</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采用自主研发的网络数据流解码算法，话筒寻呼、外置线路广播，实时性强，保持寻呼状态大于24小时后延时&lt;0.5S.</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采用自主研发的网络数据纠错算法，保证传输数据实时性的同时，也保证接收数据的准确性，工作稳定可靠。</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本地输出音量及本地播放状态可控。</w:t>
                        </w:r>
                      </w:p>
                    </w:tc>
                    <w:tc>
                      <w:tcPr>
                        <w:tcW w:w="11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BOSCH、霍尼韦尔（TK-AUDIO）、TOA、TAIDEN</w:t>
                        </w: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68"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6200"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5 </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前置六分区定压功放</w:t>
                        </w:r>
                      </w:p>
                    </w:tc>
                    <w:tc>
                      <w:tcPr>
                        <w:tcW w:w="4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1、240W网络化播放功放 采用高档铝合金拉丝面板制造。</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可挂接在网络到达的任何地方，采用自主研发的网络传输协议，动态音频数据传输。双网络接口冗余设计，可跨网段工作。</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内置高效率数字功放，100V定压输出，效率高达90%以上。</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自带MP3播放器，设有USB插口、SD插口，用以播放本地节目。</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功放额定输出功率：240W</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醒目的数码显示屏设计，既可显示时钟时间，也可显示播放进度时间。</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具有时间帧同步机制，本机时钟与网络化主机时钟实时同步。</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内置红外接收模块，可通过红外线遥控器控制，方便易用。</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面板集成5个状态指示灯，工作状态一目了然。</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面板装有8个快捷按键，方便本地用户日常使用。</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内置脱机本地定时点播放功能，定时节目备份存储到SD卡里，并全自动备份定时点节目。</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外置一路AUX线路输入、一路话筒输入、一路AUX线路输出，方便扩展本地其它音源广播，与本地功率扩展。</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具有8级以上优先级管理功能，本地话筒带有默音调节电位器，默音电平量可调节。</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外置EMC24V与短路干触点两种强播输出接口，可连接扬声器音控器使用，或连接智能电源。</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带有周边设备扩展接口，可外接86盒点播彩屏，可外接双86盒的求助对讲面板、两用对讲面板，也可以连接蓝牙音频接收器。</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点播功能：连接86盒点播彩屏后，可实现本地点播主机的海量节目库。</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寻呼功能：连接86盒点播彩屏后，可对选定的分区实时寻呼。</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对讲功能：连接求助对讲面板后，可实现求助对讲功能。</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蓝牙音频接收功能：连接蓝牙扩展器后可接收蓝牙音频，方便学校、商场等利用蓝牙无线话筒实现本地无线话筒扩声。</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外接线路输入与网络播放节目源是混合的关系，本地话筒与AUX输入通过检测输入信号的大小而打开功放。</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可定制联动触发功能，可定制100V本地紧急线路输入，方便接入消防本地广播系统。</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具有网络播放功能，可播放网络化主机下发的节目源或网络化音频采集器的音频流。</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可播放来自系统主机的背景音乐、紧急寻呼、告警信号等，网络节目源具有7级以上优先等级管理功能，分为背景广播、业务广播、紧急广播三大类。</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采用高保真CD音质的解码芯片，最大支持48KHZ采样率16bit的MP3/WMA/WAV/PCM音频流数据解码。</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全数字化设计，高性能，高保真，语音传输指数高等优点。</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内置看门狗功能，有效保障设备的正常运行。</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采用工业级芯片设计，工作环境温度广，适合室外安装与使用。</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内置DSP音效处理芯片，具有高、低音调调节功能，更适用于不同环境的补偿，让广播指标进一步提升。</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采用高性能的网络处理芯片，自主研发的实时操作系统，开机启动时间&lt;0.1S，与网络化主机连线时间&lt;2S，实时性强，播放实时节目延时&lt;0.2S.</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自主研发的实时操作系统，实时性强，多台网络播放器广播节目播放声音实时同步，之间基本没有任何时间差异。</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采用自主研发的网络数据流解码算法，话筒寻呼、外置线路广播，实时性强，保持寻呼状态大于24小时后延时&lt;0.5S.</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采用自主研发的网络数据纠错算法，保证传输数据实时性的同时，也保证接收数据的准确性，工作稳定可靠。</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本地输出音量及本地播放状态可控。</w:t>
                        </w:r>
                      </w:p>
                    </w:tc>
                    <w:tc>
                      <w:tcPr>
                        <w:tcW w:w="11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BOSCH、霍尼韦尔（TK-AUDIO）、TOA、TAIDEN</w:t>
                        </w: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68"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3735"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6 </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多媒体播放机</w:t>
                        </w:r>
                      </w:p>
                    </w:tc>
                    <w:tc>
                      <w:tcPr>
                        <w:tcW w:w="4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1、播放器 CD/MP3/MP4/VCD/DVD 播放功能；</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高亮度动态 VFD 显示，清晰醒目；</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具有曲目直选功能；</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具有通电后自动播放功能；</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性能规格：</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频率响应 20Hz-20kHz（±3dB）</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信噪比 90dB</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动态范围 90dB</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谐波失真 0.005%</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抖晃 可测极限之下</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输出电平 0dBV</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保护 AC 保险丝</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电源 AC220V/50Hz</w:t>
                        </w:r>
                      </w:p>
                    </w:tc>
                    <w:tc>
                      <w:tcPr>
                        <w:tcW w:w="11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BOSCH、霍尼韦尔（TK-AUDIO）、TOA、TAIDEN</w:t>
                        </w: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68"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2040"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7 </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扩展键盘</w:t>
                        </w:r>
                      </w:p>
                    </w:tc>
                    <w:tc>
                      <w:tcPr>
                        <w:tcW w:w="447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color w:val="auto"/>
                            <w:sz w:val="20"/>
                            <w:szCs w:val="20"/>
                            <w:highlight w:val="none"/>
                          </w:rPr>
                        </w:pPr>
                      </w:p>
                    </w:tc>
                    <w:tc>
                      <w:tcPr>
                        <w:tcW w:w="11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BOSCH、霍尼韦尔（TK-AUDIO）、TOA、TAIDEN</w:t>
                        </w: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2.00 </w:t>
                        </w:r>
                      </w:p>
                    </w:tc>
                    <w:tc>
                      <w:tcPr>
                        <w:tcW w:w="668"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200"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8 </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弱电机柜</w:t>
                        </w:r>
                      </w:p>
                    </w:tc>
                    <w:tc>
                      <w:tcPr>
                        <w:tcW w:w="4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18U</w:t>
                        </w:r>
                      </w:p>
                    </w:tc>
                    <w:tc>
                      <w:tcPr>
                        <w:tcW w:w="11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美国西蒙、康普、泛达、罗格朗</w:t>
                        </w: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2.00 </w:t>
                        </w:r>
                      </w:p>
                    </w:tc>
                    <w:tc>
                      <w:tcPr>
                        <w:tcW w:w="668"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720"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9 </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控制线</w:t>
                        </w:r>
                      </w:p>
                    </w:tc>
                    <w:tc>
                      <w:tcPr>
                        <w:tcW w:w="4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WDZ-RYS-2X1.5，敷设方式：桥架、配管内</w:t>
                        </w:r>
                      </w:p>
                    </w:tc>
                    <w:tc>
                      <w:tcPr>
                        <w:tcW w:w="11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上上、特变、远东</w:t>
                        </w: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m</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1539.38 </w:t>
                        </w:r>
                      </w:p>
                    </w:tc>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Arial Narrow" w:hAnsi="Arial Narrow" w:eastAsia="Arial Narrow" w:cs="Arial Narrow"/>
                            <w:color w:val="auto"/>
                            <w:sz w:val="20"/>
                            <w:szCs w:val="20"/>
                            <w:highlight w:val="none"/>
                          </w:rPr>
                        </w:pPr>
                      </w:p>
                    </w:tc>
                  </w:tr>
                  <w:tr>
                    <w:tblPrEx>
                      <w:tblCellMar>
                        <w:top w:w="0" w:type="dxa"/>
                        <w:left w:w="108" w:type="dxa"/>
                        <w:bottom w:w="0" w:type="dxa"/>
                        <w:right w:w="108" w:type="dxa"/>
                      </w:tblCellMar>
                    </w:tblPrEx>
                    <w:trPr>
                      <w:trHeight w:val="1020"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 </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线管</w:t>
                        </w:r>
                      </w:p>
                    </w:tc>
                    <w:tc>
                      <w:tcPr>
                        <w:tcW w:w="4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JDG20，配置形式及部位：砖、混凝土结构明暗配；含热浸锌吊支架、接地及防腐等；开槽补槽粉刷等一切相关费用</w:t>
                        </w:r>
                      </w:p>
                    </w:tc>
                    <w:tc>
                      <w:tcPr>
                        <w:tcW w:w="11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m</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1008.79 </w:t>
                        </w:r>
                      </w:p>
                    </w:tc>
                    <w:tc>
                      <w:tcPr>
                        <w:tcW w:w="668"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270"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11 </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接线盒</w:t>
                        </w:r>
                      </w:p>
                    </w:tc>
                    <w:tc>
                      <w:tcPr>
                        <w:tcW w:w="4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钢制接线盒、过线盒安装</w:t>
                        </w:r>
                      </w:p>
                    </w:tc>
                    <w:tc>
                      <w:tcPr>
                        <w:tcW w:w="11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160.00 </w:t>
                        </w:r>
                      </w:p>
                    </w:tc>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Arial Narrow" w:hAnsi="Arial Narrow" w:eastAsia="Arial Narrow" w:cs="Arial Narrow"/>
                            <w:color w:val="auto"/>
                            <w:sz w:val="20"/>
                            <w:szCs w:val="20"/>
                            <w:highlight w:val="none"/>
                          </w:rPr>
                        </w:pPr>
                      </w:p>
                    </w:tc>
                  </w:tr>
                  <w:tr>
                    <w:tblPrEx>
                      <w:tblCellMar>
                        <w:top w:w="0" w:type="dxa"/>
                        <w:left w:w="108" w:type="dxa"/>
                        <w:bottom w:w="0" w:type="dxa"/>
                        <w:right w:w="108" w:type="dxa"/>
                      </w:tblCellMar>
                    </w:tblPrEx>
                    <w:trPr>
                      <w:trHeight w:val="270"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12 </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背景音乐系统调试与检测</w:t>
                        </w:r>
                      </w:p>
                    </w:tc>
                    <w:tc>
                      <w:tcPr>
                        <w:tcW w:w="447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color w:val="auto"/>
                            <w:sz w:val="20"/>
                            <w:szCs w:val="20"/>
                            <w:highlight w:val="none"/>
                          </w:rPr>
                        </w:pPr>
                      </w:p>
                    </w:tc>
                    <w:tc>
                      <w:tcPr>
                        <w:tcW w:w="11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符合验收要求</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项</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Arial Narrow" w:hAnsi="Arial Narrow" w:eastAsia="Arial Narrow" w:cs="Arial Narrow"/>
                            <w:color w:val="auto"/>
                            <w:sz w:val="20"/>
                            <w:szCs w:val="20"/>
                            <w:highlight w:val="none"/>
                          </w:rPr>
                        </w:pPr>
                      </w:p>
                    </w:tc>
                  </w:tr>
                  <w:tr>
                    <w:tblPrEx>
                      <w:tblCellMar>
                        <w:top w:w="0" w:type="dxa"/>
                        <w:left w:w="108" w:type="dxa"/>
                        <w:bottom w:w="0" w:type="dxa"/>
                        <w:right w:w="108" w:type="dxa"/>
                      </w:tblCellMar>
                    </w:tblPrEx>
                    <w:trPr>
                      <w:trHeight w:val="270"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b/>
                            <w:bCs/>
                            <w:color w:val="auto"/>
                            <w:sz w:val="20"/>
                            <w:szCs w:val="20"/>
                            <w:highlight w:val="none"/>
                          </w:rPr>
                        </w:pPr>
                        <w:r>
                          <w:rPr>
                            <w:rFonts w:hint="eastAsia" w:ascii="宋体" w:hAnsi="宋体" w:cs="宋体"/>
                            <w:b/>
                            <w:bCs/>
                            <w:color w:val="auto"/>
                            <w:sz w:val="20"/>
                            <w:szCs w:val="20"/>
                            <w:highlight w:val="none"/>
                            <w:lang w:bidi="ar"/>
                          </w:rPr>
                          <w:t>四</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b/>
                            <w:bCs/>
                            <w:color w:val="auto"/>
                            <w:sz w:val="20"/>
                            <w:szCs w:val="20"/>
                            <w:highlight w:val="none"/>
                          </w:rPr>
                        </w:pPr>
                        <w:r>
                          <w:rPr>
                            <w:rFonts w:hint="eastAsia" w:ascii="宋体" w:hAnsi="宋体" w:cs="宋体"/>
                            <w:b/>
                            <w:bCs/>
                            <w:color w:val="auto"/>
                            <w:sz w:val="20"/>
                            <w:szCs w:val="20"/>
                            <w:highlight w:val="none"/>
                            <w:lang w:bidi="ar"/>
                          </w:rPr>
                          <w:t>监控系统</w:t>
                        </w:r>
                      </w:p>
                    </w:tc>
                    <w:tc>
                      <w:tcPr>
                        <w:tcW w:w="447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color w:val="auto"/>
                            <w:sz w:val="20"/>
                            <w:szCs w:val="20"/>
                            <w:highlight w:val="none"/>
                          </w:rPr>
                        </w:pPr>
                      </w:p>
                    </w:tc>
                    <w:tc>
                      <w:tcPr>
                        <w:tcW w:w="115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 w:val="20"/>
                            <w:szCs w:val="20"/>
                            <w:highlight w:val="none"/>
                          </w:rPr>
                        </w:pP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auto"/>
                            <w:sz w:val="20"/>
                            <w:szCs w:val="20"/>
                            <w:highlight w:val="none"/>
                          </w:rPr>
                        </w:pP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auto"/>
                            <w:sz w:val="20"/>
                            <w:szCs w:val="20"/>
                            <w:highlight w:val="none"/>
                          </w:rPr>
                        </w:pPr>
                      </w:p>
                    </w:tc>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Arial Narrow" w:hAnsi="Arial Narrow" w:eastAsia="Arial Narrow" w:cs="Arial Narrow"/>
                            <w:color w:val="auto"/>
                            <w:sz w:val="20"/>
                            <w:szCs w:val="20"/>
                            <w:highlight w:val="none"/>
                          </w:rPr>
                        </w:pPr>
                      </w:p>
                    </w:tc>
                  </w:tr>
                  <w:tr>
                    <w:tblPrEx>
                      <w:tblCellMar>
                        <w:top w:w="0" w:type="dxa"/>
                        <w:left w:w="108" w:type="dxa"/>
                        <w:bottom w:w="0" w:type="dxa"/>
                        <w:right w:w="108" w:type="dxa"/>
                      </w:tblCellMar>
                    </w:tblPrEx>
                    <w:trPr>
                      <w:trHeight w:val="2747"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 </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彩色半球形摄像机</w:t>
                        </w:r>
                      </w:p>
                    </w:tc>
                    <w:tc>
                      <w:tcPr>
                        <w:tcW w:w="4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400万1/2.7” CMOS ICR日夜型半球型网络摄像机</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最低照度彩色：0.01lx(AGC开，RJ45输出)，黑白:0.001lx(AGC开，RJ45输出)，灰度等级不小于11级（合同签订前提供由公安部授权的安防产品或安防工程检验机构出具的检验报告）；</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调整角度: 水平:0°~360°；垂直:0°~ 75°；旋转:0°~360°</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宽动态范围: 120dB</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视频压缩标准: H.265/H.264/ MJPEG</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最大图像尺寸: 2560 × 1440</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存储功能: 支持Micro SD(即TF卡)/Micro SDHC/Micro SDXC卡(256G)断网本地存储及断网续传,NAS(NFS,SMB/CIFS均支持) ,配合黑卡支持SD卡加密及SD卡状态检测功能</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通讯接口: 1个RJ45 10M/100M自适应以太网口</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音频接口: 1 input (line in) ；1 output (line out)； 1 内置microphone</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报警接口: 1路报警输入,1路报警输出（三极管:超过30毫安建议加继电器）</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具有电子防抖、ROI感兴趣区域、SVC可伸缩编码、自动增益、背光补偿、数字降噪、强光抑制、走廊模式、视频水印等功能。（合同签订前提供由公安部授权的安防产品或安防工程检验机构出具的检验报告）；</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设备与客户端之间用100米网线进行传输，数据包丢包率小于0.1%。（合同签订前提供由公安部授权的安防产品或安防工程检验机构出具的检验报告）；</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不低于IP67防尘防水等级。（合同签订前提供由公安部授权的安防产品或安防工程检验机构出具的检验报告）；</w:t>
                        </w:r>
                      </w:p>
                    </w:tc>
                    <w:tc>
                      <w:tcPr>
                        <w:tcW w:w="11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大华、宇视、海康威视、英飞拓</w:t>
                        </w: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52.00 </w:t>
                        </w:r>
                      </w:p>
                    </w:tc>
                    <w:tc>
                      <w:tcPr>
                        <w:tcW w:w="668"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200"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 </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摄像机支架</w:t>
                        </w:r>
                      </w:p>
                    </w:tc>
                    <w:tc>
                      <w:tcPr>
                        <w:tcW w:w="4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壁装支架/白色/铝合金/</w:t>
                        </w:r>
                      </w:p>
                    </w:tc>
                    <w:tc>
                      <w:tcPr>
                        <w:tcW w:w="11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大华、宇视、海康威视、英飞拓</w:t>
                        </w: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52.00 </w:t>
                        </w:r>
                      </w:p>
                    </w:tc>
                    <w:tc>
                      <w:tcPr>
                        <w:tcW w:w="668"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200"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3 </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摄像机电源</w:t>
                        </w:r>
                      </w:p>
                    </w:tc>
                    <w:tc>
                      <w:tcPr>
                        <w:tcW w:w="4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220VAC/12VDC</w:t>
                        </w:r>
                      </w:p>
                    </w:tc>
                    <w:tc>
                      <w:tcPr>
                        <w:tcW w:w="11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大华、宇视、海康威视、英飞拓</w:t>
                        </w: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13.00 </w:t>
                        </w:r>
                      </w:p>
                    </w:tc>
                    <w:tc>
                      <w:tcPr>
                        <w:tcW w:w="668"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200"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4 </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网络交换机</w:t>
                        </w:r>
                      </w:p>
                    </w:tc>
                    <w:tc>
                      <w:tcPr>
                        <w:tcW w:w="4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24端口</w:t>
                        </w:r>
                      </w:p>
                    </w:tc>
                    <w:tc>
                      <w:tcPr>
                        <w:tcW w:w="11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华三、华为、浪潮思科</w:t>
                        </w: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4.00 </w:t>
                        </w:r>
                      </w:p>
                    </w:tc>
                    <w:tc>
                      <w:tcPr>
                        <w:tcW w:w="668"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200"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5 </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监视主机</w:t>
                        </w:r>
                      </w:p>
                    </w:tc>
                    <w:tc>
                      <w:tcPr>
                        <w:tcW w:w="4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64路NVR录像机+8*4T硬盘+控制键鼠</w:t>
                        </w:r>
                      </w:p>
                    </w:tc>
                    <w:tc>
                      <w:tcPr>
                        <w:tcW w:w="11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大华、宇视、海康威视、英飞拓</w:t>
                        </w: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68"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200"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6 </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监视主机</w:t>
                        </w:r>
                      </w:p>
                    </w:tc>
                    <w:tc>
                      <w:tcPr>
                        <w:tcW w:w="4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24路NVR录像机+3*4T硬盘+控制键鼠</w:t>
                        </w:r>
                      </w:p>
                    </w:tc>
                    <w:tc>
                      <w:tcPr>
                        <w:tcW w:w="11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大华、宇视、海康威视、英飞拓</w:t>
                        </w: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68"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200"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7 </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27寸监控显示屏</w:t>
                        </w:r>
                      </w:p>
                    </w:tc>
                    <w:tc>
                      <w:tcPr>
                        <w:tcW w:w="4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27寸</w:t>
                        </w:r>
                      </w:p>
                    </w:tc>
                    <w:tc>
                      <w:tcPr>
                        <w:tcW w:w="11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大华、宇视、海康威视、英飞拓</w:t>
                        </w: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2.00 </w:t>
                        </w:r>
                      </w:p>
                    </w:tc>
                    <w:tc>
                      <w:tcPr>
                        <w:tcW w:w="668"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200"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8 </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拾音器(监听器)</w:t>
                        </w:r>
                      </w:p>
                    </w:tc>
                    <w:tc>
                      <w:tcPr>
                        <w:tcW w:w="4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拾音器；</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拾音范围70平方米；音频传输距离3000米；灵敏度-34dB；信噪比60dB；安装方式：吸顶安装（自带底座转接盘）；连接方式 3芯导线（红-电源 黑-公共地 白-音频）；电源DC 12V（9V-15V）；推荐电源：DC12V/1A，两线；</w:t>
                        </w:r>
                      </w:p>
                    </w:tc>
                    <w:tc>
                      <w:tcPr>
                        <w:tcW w:w="11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大华、宇视、海康威视、英飞拓</w:t>
                        </w: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4.00 </w:t>
                        </w:r>
                      </w:p>
                    </w:tc>
                    <w:tc>
                      <w:tcPr>
                        <w:tcW w:w="668"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200"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9 </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弱电机柜</w:t>
                        </w:r>
                      </w:p>
                    </w:tc>
                    <w:tc>
                      <w:tcPr>
                        <w:tcW w:w="4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22U</w:t>
                        </w:r>
                      </w:p>
                    </w:tc>
                    <w:tc>
                      <w:tcPr>
                        <w:tcW w:w="11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美国西蒙、康普、泛达、罗格朗</w:t>
                        </w: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2.00 </w:t>
                        </w:r>
                      </w:p>
                    </w:tc>
                    <w:tc>
                      <w:tcPr>
                        <w:tcW w:w="668"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200"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 </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视频线</w:t>
                        </w:r>
                      </w:p>
                    </w:tc>
                    <w:tc>
                      <w:tcPr>
                        <w:tcW w:w="4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Cat6-4PrUTP，敷设方式：桥架、配管内</w:t>
                        </w:r>
                      </w:p>
                    </w:tc>
                    <w:tc>
                      <w:tcPr>
                        <w:tcW w:w="11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美国西蒙、康普、泛达、罗格朗</w:t>
                        </w: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m</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2206.26 </w:t>
                        </w:r>
                      </w:p>
                    </w:tc>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Arial Narrow" w:hAnsi="Arial Narrow" w:eastAsia="Arial Narrow" w:cs="Arial Narrow"/>
                            <w:color w:val="auto"/>
                            <w:sz w:val="20"/>
                            <w:szCs w:val="20"/>
                            <w:highlight w:val="none"/>
                          </w:rPr>
                        </w:pPr>
                      </w:p>
                    </w:tc>
                  </w:tr>
                  <w:tr>
                    <w:tblPrEx>
                      <w:tblCellMar>
                        <w:top w:w="0" w:type="dxa"/>
                        <w:left w:w="108" w:type="dxa"/>
                        <w:bottom w:w="0" w:type="dxa"/>
                        <w:right w:w="108" w:type="dxa"/>
                      </w:tblCellMar>
                    </w:tblPrEx>
                    <w:trPr>
                      <w:trHeight w:val="960"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11 </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电源线</w:t>
                        </w:r>
                      </w:p>
                    </w:tc>
                    <w:tc>
                      <w:tcPr>
                        <w:tcW w:w="4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WDZ-RYY-2X0.5，敷设方式：桥架、配管内</w:t>
                        </w:r>
                      </w:p>
                    </w:tc>
                    <w:tc>
                      <w:tcPr>
                        <w:tcW w:w="11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上上、特变、远东</w:t>
                        </w: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m</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2206.26 </w:t>
                        </w:r>
                      </w:p>
                    </w:tc>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Arial Narrow" w:hAnsi="Arial Narrow" w:eastAsia="Arial Narrow" w:cs="Arial Narrow"/>
                            <w:color w:val="auto"/>
                            <w:sz w:val="20"/>
                            <w:szCs w:val="20"/>
                            <w:highlight w:val="none"/>
                          </w:rPr>
                        </w:pPr>
                      </w:p>
                    </w:tc>
                  </w:tr>
                  <w:tr>
                    <w:tblPrEx>
                      <w:tblCellMar>
                        <w:top w:w="0" w:type="dxa"/>
                        <w:left w:w="108" w:type="dxa"/>
                        <w:bottom w:w="0" w:type="dxa"/>
                        <w:right w:w="108" w:type="dxa"/>
                      </w:tblCellMar>
                    </w:tblPrEx>
                    <w:trPr>
                      <w:trHeight w:val="960"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12 </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线管</w:t>
                        </w:r>
                      </w:p>
                    </w:tc>
                    <w:tc>
                      <w:tcPr>
                        <w:tcW w:w="4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JDG25，配置形式及部位：砖、混凝土结构明暗配；含热浸锌吊支架、接地及防腐等；开槽补槽粉刷等一切相关费用</w:t>
                        </w:r>
                      </w:p>
                    </w:tc>
                    <w:tc>
                      <w:tcPr>
                        <w:tcW w:w="11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m</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511.10 </w:t>
                        </w:r>
                      </w:p>
                    </w:tc>
                    <w:tc>
                      <w:tcPr>
                        <w:tcW w:w="668"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040"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13 </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线管</w:t>
                        </w:r>
                      </w:p>
                    </w:tc>
                    <w:tc>
                      <w:tcPr>
                        <w:tcW w:w="4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JDG20，配置形式及部位：砖、混凝土结构明暗配；含热浸锌吊支架、接地及防腐等；开槽补槽粉刷等一切相关费用</w:t>
                        </w:r>
                      </w:p>
                    </w:tc>
                    <w:tc>
                      <w:tcPr>
                        <w:tcW w:w="11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m</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54.97 </w:t>
                        </w:r>
                      </w:p>
                    </w:tc>
                    <w:tc>
                      <w:tcPr>
                        <w:tcW w:w="668"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270"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14 </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接线盒</w:t>
                        </w:r>
                      </w:p>
                    </w:tc>
                    <w:tc>
                      <w:tcPr>
                        <w:tcW w:w="4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钢制接线盒、过线盒安装</w:t>
                        </w:r>
                      </w:p>
                    </w:tc>
                    <w:tc>
                      <w:tcPr>
                        <w:tcW w:w="11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68.00 </w:t>
                        </w:r>
                      </w:p>
                    </w:tc>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Arial Narrow" w:hAnsi="Arial Narrow" w:eastAsia="Arial Narrow" w:cs="Arial Narrow"/>
                            <w:color w:val="auto"/>
                            <w:sz w:val="20"/>
                            <w:szCs w:val="20"/>
                            <w:highlight w:val="none"/>
                          </w:rPr>
                        </w:pPr>
                      </w:p>
                    </w:tc>
                  </w:tr>
                  <w:tr>
                    <w:tblPrEx>
                      <w:tblCellMar>
                        <w:top w:w="0" w:type="dxa"/>
                        <w:left w:w="108" w:type="dxa"/>
                        <w:bottom w:w="0" w:type="dxa"/>
                        <w:right w:w="108" w:type="dxa"/>
                      </w:tblCellMar>
                    </w:tblPrEx>
                    <w:trPr>
                      <w:trHeight w:val="270"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15 </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监控系统调试与检测</w:t>
                        </w:r>
                      </w:p>
                    </w:tc>
                    <w:tc>
                      <w:tcPr>
                        <w:tcW w:w="447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color w:val="auto"/>
                            <w:sz w:val="20"/>
                            <w:szCs w:val="20"/>
                            <w:highlight w:val="none"/>
                          </w:rPr>
                        </w:pPr>
                      </w:p>
                    </w:tc>
                    <w:tc>
                      <w:tcPr>
                        <w:tcW w:w="11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符合验收要求</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项</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Arial Narrow" w:hAnsi="Arial Narrow" w:eastAsia="Arial Narrow" w:cs="Arial Narrow"/>
                            <w:color w:val="auto"/>
                            <w:sz w:val="20"/>
                            <w:szCs w:val="20"/>
                            <w:highlight w:val="none"/>
                          </w:rPr>
                        </w:pPr>
                      </w:p>
                    </w:tc>
                  </w:tr>
                  <w:tr>
                    <w:tblPrEx>
                      <w:tblCellMar>
                        <w:top w:w="0" w:type="dxa"/>
                        <w:left w:w="108" w:type="dxa"/>
                        <w:bottom w:w="0" w:type="dxa"/>
                        <w:right w:w="108" w:type="dxa"/>
                      </w:tblCellMar>
                    </w:tblPrEx>
                    <w:trPr>
                      <w:trHeight w:val="270"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b/>
                            <w:bCs/>
                            <w:color w:val="auto"/>
                            <w:sz w:val="20"/>
                            <w:szCs w:val="20"/>
                            <w:highlight w:val="none"/>
                          </w:rPr>
                        </w:pPr>
                        <w:r>
                          <w:rPr>
                            <w:rFonts w:hint="eastAsia" w:ascii="宋体" w:hAnsi="宋体" w:cs="宋体"/>
                            <w:b/>
                            <w:bCs/>
                            <w:color w:val="auto"/>
                            <w:sz w:val="20"/>
                            <w:szCs w:val="20"/>
                            <w:highlight w:val="none"/>
                            <w:lang w:bidi="ar"/>
                          </w:rPr>
                          <w:t>五</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b/>
                            <w:bCs/>
                            <w:color w:val="auto"/>
                            <w:sz w:val="20"/>
                            <w:szCs w:val="20"/>
                            <w:highlight w:val="none"/>
                          </w:rPr>
                        </w:pPr>
                        <w:r>
                          <w:rPr>
                            <w:rFonts w:hint="eastAsia" w:ascii="宋体" w:hAnsi="宋体" w:cs="宋体"/>
                            <w:b/>
                            <w:bCs/>
                            <w:color w:val="auto"/>
                            <w:sz w:val="20"/>
                            <w:szCs w:val="20"/>
                            <w:highlight w:val="none"/>
                            <w:lang w:bidi="ar"/>
                          </w:rPr>
                          <w:t>门禁系统</w:t>
                        </w:r>
                      </w:p>
                    </w:tc>
                    <w:tc>
                      <w:tcPr>
                        <w:tcW w:w="447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color w:val="auto"/>
                            <w:sz w:val="20"/>
                            <w:szCs w:val="20"/>
                            <w:highlight w:val="none"/>
                          </w:rPr>
                        </w:pPr>
                      </w:p>
                    </w:tc>
                    <w:tc>
                      <w:tcPr>
                        <w:tcW w:w="115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 w:val="20"/>
                            <w:szCs w:val="20"/>
                            <w:highlight w:val="none"/>
                          </w:rPr>
                        </w:pP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auto"/>
                            <w:sz w:val="20"/>
                            <w:szCs w:val="20"/>
                            <w:highlight w:val="none"/>
                          </w:rPr>
                        </w:pP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auto"/>
                            <w:sz w:val="20"/>
                            <w:szCs w:val="20"/>
                            <w:highlight w:val="none"/>
                          </w:rPr>
                        </w:pPr>
                      </w:p>
                    </w:tc>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Arial Narrow" w:hAnsi="Arial Narrow" w:eastAsia="Arial Narrow" w:cs="Arial Narrow"/>
                            <w:color w:val="auto"/>
                            <w:sz w:val="20"/>
                            <w:szCs w:val="20"/>
                            <w:highlight w:val="none"/>
                          </w:rPr>
                        </w:pPr>
                      </w:p>
                    </w:tc>
                  </w:tr>
                  <w:tr>
                    <w:tblPrEx>
                      <w:tblCellMar>
                        <w:top w:w="0" w:type="dxa"/>
                        <w:left w:w="108" w:type="dxa"/>
                        <w:bottom w:w="0" w:type="dxa"/>
                        <w:right w:w="108" w:type="dxa"/>
                      </w:tblCellMar>
                    </w:tblPrEx>
                    <w:trPr>
                      <w:trHeight w:val="1140"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 </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可视对讲室内机</w:t>
                        </w:r>
                      </w:p>
                    </w:tc>
                    <w:tc>
                      <w:tcPr>
                        <w:tcW w:w="447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color w:val="auto"/>
                            <w:sz w:val="20"/>
                            <w:szCs w:val="20"/>
                            <w:highlight w:val="none"/>
                          </w:rPr>
                        </w:pPr>
                      </w:p>
                    </w:tc>
                    <w:tc>
                      <w:tcPr>
                        <w:tcW w:w="11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大华、宇视、海康威视、英飞拓</w:t>
                        </w: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ascii="宋体" w:hAnsi="宋体" w:cs="宋体"/>
                            <w:color w:val="auto"/>
                            <w:sz w:val="20"/>
                            <w:szCs w:val="20"/>
                            <w:highlight w:val="none"/>
                          </w:rPr>
                        </w:pPr>
                        <w:r>
                          <w:rPr>
                            <w:rFonts w:hint="eastAsia" w:ascii="宋体" w:hAnsi="宋体" w:eastAsia="宋体" w:cs="宋体"/>
                            <w:i w:val="0"/>
                            <w:iCs w:val="0"/>
                            <w:color w:val="000000"/>
                            <w:kern w:val="0"/>
                            <w:sz w:val="20"/>
                            <w:szCs w:val="20"/>
                            <w:u w:val="none"/>
                            <w:lang w:val="en-US" w:eastAsia="zh-CN" w:bidi="ar"/>
                          </w:rPr>
                          <w:t xml:space="preserve">1.00 </w:t>
                        </w:r>
                      </w:p>
                    </w:tc>
                    <w:tc>
                      <w:tcPr>
                        <w:tcW w:w="668"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3508"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 </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可视对讲门口主机（含读卡器）</w:t>
                        </w:r>
                      </w:p>
                    </w:tc>
                    <w:tc>
                      <w:tcPr>
                        <w:tcW w:w="4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1、可视对讲门口主机 读卡类型：Mifare卡卡号和内容、CPU卡序列号、身份证序列号；</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通信方式：有线网络、无线WiFi；</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存储容量：10万张卡和30万记录存储；</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输入接口：门铃*1、防拆*1、开门按钮*1、门磁*1、报警输入*2；</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输出接口：电锁输出*1、报警（门铃）输出*1；</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工作电压：DC12V；</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工作电流：1A(max)（无负载状态）；</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使用环境：室内使用，不防水；</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尺寸：137*92*35mm；</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注：不含电源，需单独选配电源</w:t>
                        </w:r>
                      </w:p>
                    </w:tc>
                    <w:tc>
                      <w:tcPr>
                        <w:tcW w:w="11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大华、宇视、海康威视、英飞拓</w:t>
                        </w: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ascii="宋体" w:hAnsi="宋体" w:cs="宋体"/>
                            <w:color w:val="auto"/>
                            <w:sz w:val="20"/>
                            <w:szCs w:val="20"/>
                            <w:highlight w:val="none"/>
                          </w:rPr>
                        </w:pPr>
                        <w:r>
                          <w:rPr>
                            <w:rFonts w:hint="eastAsia" w:ascii="宋体" w:hAnsi="宋体" w:eastAsia="宋体" w:cs="宋体"/>
                            <w:i w:val="0"/>
                            <w:iCs w:val="0"/>
                            <w:color w:val="000000"/>
                            <w:kern w:val="0"/>
                            <w:sz w:val="20"/>
                            <w:szCs w:val="20"/>
                            <w:u w:val="none"/>
                            <w:lang w:val="en-US" w:eastAsia="zh-CN" w:bidi="ar"/>
                          </w:rPr>
                          <w:t xml:space="preserve">5.00 </w:t>
                        </w:r>
                      </w:p>
                    </w:tc>
                    <w:tc>
                      <w:tcPr>
                        <w:tcW w:w="668"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440"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3 </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出门按钮</w:t>
                        </w:r>
                      </w:p>
                    </w:tc>
                    <w:tc>
                      <w:tcPr>
                        <w:tcW w:w="4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结构：塑料面板；</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性能：最大耐电流1.25A，电压250V；</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输出：常开；</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类型：适合埋入式电器盒使用；</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尺寸：86*86mm；</w:t>
                        </w:r>
                      </w:p>
                    </w:tc>
                    <w:tc>
                      <w:tcPr>
                        <w:tcW w:w="11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大华、宇视、海康威视、英飞拓</w:t>
                        </w: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ascii="宋体" w:hAnsi="宋体" w:cs="宋体"/>
                            <w:color w:val="auto"/>
                            <w:sz w:val="20"/>
                            <w:szCs w:val="20"/>
                            <w:highlight w:val="none"/>
                          </w:rPr>
                        </w:pPr>
                        <w:r>
                          <w:rPr>
                            <w:rFonts w:hint="eastAsia" w:ascii="宋体" w:hAnsi="宋体" w:eastAsia="宋体" w:cs="宋体"/>
                            <w:i w:val="0"/>
                            <w:iCs w:val="0"/>
                            <w:color w:val="000000"/>
                            <w:kern w:val="0"/>
                            <w:sz w:val="20"/>
                            <w:szCs w:val="20"/>
                            <w:u w:val="none"/>
                            <w:lang w:val="en-US" w:eastAsia="zh-CN" w:bidi="ar"/>
                          </w:rPr>
                          <w:t xml:space="preserve">79.00 </w:t>
                        </w:r>
                      </w:p>
                    </w:tc>
                    <w:tc>
                      <w:tcPr>
                        <w:tcW w:w="668"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3200"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4 </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单门磁力锁</w:t>
                        </w:r>
                      </w:p>
                    </w:tc>
                    <w:tc>
                      <w:tcPr>
                        <w:tcW w:w="4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最大拉力：280kg(600Lbs)静态直线拉力；</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支持锁状态反馈，门磁输出；</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断电开锁；</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具有电锁状态指示灯；</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锁体尺寸：长240*宽48.5*厚26.5(mm)；</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吸板尺寸：长180*宽38*厚11(mm)；</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使用环境：室内；</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工作电压：12V/500mA ；</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适用门型：木门、玻璃门、金属门、防火门。</w:t>
                        </w:r>
                      </w:p>
                    </w:tc>
                    <w:tc>
                      <w:tcPr>
                        <w:tcW w:w="11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大华、宇视、海康威视、英飞拓</w:t>
                        </w: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ascii="宋体" w:hAnsi="宋体" w:cs="宋体"/>
                            <w:color w:val="auto"/>
                            <w:sz w:val="20"/>
                            <w:szCs w:val="20"/>
                            <w:highlight w:val="none"/>
                          </w:rPr>
                        </w:pPr>
                        <w:r>
                          <w:rPr>
                            <w:rFonts w:hint="eastAsia" w:ascii="宋体" w:hAnsi="宋体" w:eastAsia="宋体" w:cs="宋体"/>
                            <w:i w:val="0"/>
                            <w:iCs w:val="0"/>
                            <w:color w:val="000000"/>
                            <w:kern w:val="0"/>
                            <w:sz w:val="20"/>
                            <w:szCs w:val="20"/>
                            <w:u w:val="none"/>
                            <w:lang w:val="en-US" w:eastAsia="zh-CN" w:bidi="ar"/>
                          </w:rPr>
                          <w:t xml:space="preserve">27.00 </w:t>
                        </w:r>
                      </w:p>
                    </w:tc>
                    <w:tc>
                      <w:tcPr>
                        <w:tcW w:w="668"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2510"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5 </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双门磁力锁</w:t>
                        </w:r>
                      </w:p>
                    </w:tc>
                    <w:tc>
                      <w:tcPr>
                        <w:tcW w:w="4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最大拉力：280kg(600Lbs)*2静态直线拉力；</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支持锁状态反馈，门磁输出；</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断电开锁；</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具有电锁状态指示灯；</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锁体尺寸：长480*宽48.5*厚26.5(mm)；</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吸板尺寸：长180*宽38*厚11(mm)；</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使用环境：室内；</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工作电压：12V/500mA*2 24V/250mA*2</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适用门型：木门、玻璃门、金属门、防火门。</w:t>
                        </w:r>
                      </w:p>
                    </w:tc>
                    <w:tc>
                      <w:tcPr>
                        <w:tcW w:w="11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大华、宇视、海康威视、英飞拓</w:t>
                        </w: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ascii="宋体" w:hAnsi="宋体" w:cs="宋体"/>
                            <w:color w:val="auto"/>
                            <w:sz w:val="20"/>
                            <w:szCs w:val="20"/>
                            <w:highlight w:val="none"/>
                          </w:rPr>
                        </w:pPr>
                        <w:r>
                          <w:rPr>
                            <w:rFonts w:hint="eastAsia" w:ascii="宋体" w:hAnsi="宋体" w:eastAsia="宋体" w:cs="宋体"/>
                            <w:i w:val="0"/>
                            <w:iCs w:val="0"/>
                            <w:color w:val="000000"/>
                            <w:kern w:val="0"/>
                            <w:sz w:val="20"/>
                            <w:szCs w:val="20"/>
                            <w:u w:val="none"/>
                            <w:lang w:val="en-US" w:eastAsia="zh-CN" w:bidi="ar"/>
                          </w:rPr>
                          <w:t xml:space="preserve">16.00 </w:t>
                        </w:r>
                      </w:p>
                    </w:tc>
                    <w:tc>
                      <w:tcPr>
                        <w:tcW w:w="668"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3000"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6 </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门禁读卡器</w:t>
                        </w:r>
                      </w:p>
                    </w:tc>
                    <w:tc>
                      <w:tcPr>
                        <w:tcW w:w="4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读卡频率：13.56MHz</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按键方式：触摸按键</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可识别卡：Mifare卡号、Mifare卡内容、CPU卡序列号</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通讯方式：RS485+Wiegand</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工作电压：DC 12V</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功耗：≤2W</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安装方式：预埋120或86底盒安装</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工作环境：室内，IP64</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外型尺寸：121mm(高)x86.5mm（宽）x14mm（厚）</w:t>
                        </w:r>
                      </w:p>
                    </w:tc>
                    <w:tc>
                      <w:tcPr>
                        <w:tcW w:w="11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大华、宇视、海康威视、英飞拓</w:t>
                        </w: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ascii="宋体" w:hAnsi="宋体" w:cs="宋体"/>
                            <w:color w:val="auto"/>
                            <w:sz w:val="20"/>
                            <w:szCs w:val="20"/>
                            <w:highlight w:val="none"/>
                          </w:rPr>
                        </w:pPr>
                        <w:r>
                          <w:rPr>
                            <w:rFonts w:hint="eastAsia" w:ascii="宋体" w:hAnsi="宋体" w:eastAsia="宋体" w:cs="宋体"/>
                            <w:i w:val="0"/>
                            <w:iCs w:val="0"/>
                            <w:color w:val="000000"/>
                            <w:kern w:val="0"/>
                            <w:sz w:val="20"/>
                            <w:szCs w:val="20"/>
                            <w:u w:val="none"/>
                            <w:lang w:val="en-US" w:eastAsia="zh-CN" w:bidi="ar"/>
                          </w:rPr>
                          <w:t xml:space="preserve">29.00 </w:t>
                        </w:r>
                      </w:p>
                    </w:tc>
                    <w:tc>
                      <w:tcPr>
                        <w:tcW w:w="668"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4535"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7 </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双门门禁控制器</w:t>
                        </w:r>
                      </w:p>
                    </w:tc>
                    <w:tc>
                      <w:tcPr>
                        <w:tcW w:w="4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处理器：32位处理器</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管控门数：2门</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通讯方式：上行TCP/IP、RS485</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读卡器接口：RS485和Wiegand双通讯接口</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存储容量：10万张卡和30万记录存储</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工作电压：自带机箱和供电电源（AC220V输入），工作电压DC 12V，功耗≤4W（不带负载）</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主机应具有消防联动功能，当检测到消防信号后，可以自动打开门锁（合同签订前提供由公安部授权的安防产品或安防工程检验机构出具的CE、FCC检验报告）；。</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主机应具有应急响应功能，可应急开启和应急复位。（合同签订前提供由公安部授权的安防产品或安防工程检验机构出具的CE、FCC检验报告）；</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主机应具防区报警功能，有4个防区输入端口，具有防短、防剪功能，能够联动报警输出。（合同签订前提供由公安部授权的安防产品或安防工程检验机构出具的CE、FCC检验报告）；</w:t>
                        </w:r>
                      </w:p>
                    </w:tc>
                    <w:tc>
                      <w:tcPr>
                        <w:tcW w:w="11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大华、宇视、海康威视、英飞拓</w:t>
                        </w: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ascii="宋体" w:hAnsi="宋体" w:cs="宋体"/>
                            <w:color w:val="auto"/>
                            <w:sz w:val="20"/>
                            <w:szCs w:val="20"/>
                            <w:highlight w:val="none"/>
                          </w:rPr>
                        </w:pPr>
                        <w:r>
                          <w:rPr>
                            <w:rFonts w:hint="eastAsia" w:ascii="宋体" w:hAnsi="宋体" w:eastAsia="宋体" w:cs="宋体"/>
                            <w:i w:val="0"/>
                            <w:iCs w:val="0"/>
                            <w:color w:val="000000"/>
                            <w:kern w:val="0"/>
                            <w:sz w:val="20"/>
                            <w:szCs w:val="20"/>
                            <w:u w:val="none"/>
                            <w:lang w:val="en-US" w:eastAsia="zh-CN" w:bidi="ar"/>
                          </w:rPr>
                          <w:t xml:space="preserve">12.00 </w:t>
                        </w:r>
                      </w:p>
                    </w:tc>
                    <w:tc>
                      <w:tcPr>
                        <w:tcW w:w="668"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5385"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8 </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四门门禁控制器</w:t>
                        </w:r>
                      </w:p>
                    </w:tc>
                    <w:tc>
                      <w:tcPr>
                        <w:tcW w:w="4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处理器：32位处理器</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管控门数：4门</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通讯方式：上行TCP/IP、RS485</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读卡器接口：RS485和Wiegand双通讯接口</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存储容量：10万张卡和30万记录存储</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工作电压：自带机箱和供电电源（AC220V输入），工作电压DC 12V，功耗≤4W（不带负载）</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主机应具有消防联动功能，当检测到消防信号后，可以自动打开门锁（合同签订前提供由公安部授权的安防产品或安防工程检验机构出具的CE、FCC检验报告）；。</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主机应具有应急响应功能，可应急开启和应急复位。（合同签订前提供由公安部授权的安防产品或安防工程检验机构出具的CE、FCC检验报告）；</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主机应具防区报警功能，有4个防区输入端口，具有防短、防剪功能，能够联动报警输出。（合同签订前提供由公安部授权的安防产品或安防工程检验机构出具的CE、FCC检验报告）；</w:t>
                        </w:r>
                      </w:p>
                    </w:tc>
                    <w:tc>
                      <w:tcPr>
                        <w:tcW w:w="11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大华、宇视、海康威视、英飞拓</w:t>
                        </w: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ascii="宋体" w:hAnsi="宋体" w:cs="宋体"/>
                            <w:color w:val="auto"/>
                            <w:sz w:val="20"/>
                            <w:szCs w:val="20"/>
                            <w:highlight w:val="none"/>
                          </w:rPr>
                        </w:pPr>
                        <w:r>
                          <w:rPr>
                            <w:rFonts w:hint="eastAsia" w:ascii="宋体" w:hAnsi="宋体" w:eastAsia="宋体" w:cs="宋体"/>
                            <w:i w:val="0"/>
                            <w:iCs w:val="0"/>
                            <w:color w:val="000000"/>
                            <w:kern w:val="0"/>
                            <w:sz w:val="20"/>
                            <w:szCs w:val="20"/>
                            <w:u w:val="none"/>
                            <w:lang w:val="en-US" w:eastAsia="zh-CN" w:bidi="ar"/>
                          </w:rPr>
                          <w:t xml:space="preserve">5.00 </w:t>
                        </w:r>
                      </w:p>
                    </w:tc>
                    <w:tc>
                      <w:tcPr>
                        <w:tcW w:w="668"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720"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ascii="宋体" w:hAnsi="宋体" w:cs="宋体"/>
                            <w:color w:val="auto"/>
                            <w:sz w:val="20"/>
                            <w:szCs w:val="20"/>
                            <w:highlight w:val="none"/>
                          </w:rPr>
                        </w:pPr>
                        <w:r>
                          <w:rPr>
                            <w:rFonts w:hint="eastAsia" w:ascii="宋体" w:hAnsi="宋体" w:eastAsia="宋体" w:cs="宋体"/>
                            <w:i w:val="0"/>
                            <w:iCs w:val="0"/>
                            <w:color w:val="000000"/>
                            <w:kern w:val="0"/>
                            <w:sz w:val="20"/>
                            <w:szCs w:val="20"/>
                            <w:u w:val="none"/>
                            <w:lang w:val="en-US" w:eastAsia="zh-CN" w:bidi="ar"/>
                          </w:rPr>
                          <w:t xml:space="preserve">9 </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cs="宋体"/>
                            <w:color w:val="auto"/>
                            <w:sz w:val="20"/>
                            <w:szCs w:val="20"/>
                            <w:highlight w:val="none"/>
                          </w:rPr>
                        </w:pPr>
                        <w:r>
                          <w:rPr>
                            <w:rFonts w:hint="eastAsia" w:ascii="宋体" w:hAnsi="宋体" w:eastAsia="宋体" w:cs="宋体"/>
                            <w:i w:val="0"/>
                            <w:iCs w:val="0"/>
                            <w:color w:val="000000"/>
                            <w:kern w:val="0"/>
                            <w:sz w:val="20"/>
                            <w:szCs w:val="20"/>
                            <w:u w:val="none"/>
                            <w:lang w:val="en-US" w:eastAsia="zh-CN" w:bidi="ar"/>
                          </w:rPr>
                          <w:t>控制线</w:t>
                        </w:r>
                      </w:p>
                    </w:tc>
                    <w:tc>
                      <w:tcPr>
                        <w:tcW w:w="44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cs="宋体"/>
                            <w:color w:val="auto"/>
                            <w:sz w:val="20"/>
                            <w:szCs w:val="20"/>
                            <w:highlight w:val="none"/>
                          </w:rPr>
                        </w:pPr>
                        <w:r>
                          <w:rPr>
                            <w:rFonts w:hint="eastAsia" w:ascii="宋体" w:hAnsi="宋体" w:eastAsia="宋体" w:cs="宋体"/>
                            <w:i w:val="0"/>
                            <w:iCs w:val="0"/>
                            <w:color w:val="000000"/>
                            <w:kern w:val="0"/>
                            <w:sz w:val="20"/>
                            <w:szCs w:val="20"/>
                            <w:u w:val="none"/>
                            <w:lang w:val="en-US" w:eastAsia="zh-CN" w:bidi="ar"/>
                          </w:rPr>
                          <w:t>Cat6-4PrUTP，敷设方式：桥架、配管内</w:t>
                        </w:r>
                      </w:p>
                    </w:tc>
                    <w:tc>
                      <w:tcPr>
                        <w:tcW w:w="11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cs="宋体"/>
                            <w:color w:val="auto"/>
                            <w:sz w:val="20"/>
                            <w:szCs w:val="20"/>
                            <w:highlight w:val="none"/>
                          </w:rPr>
                        </w:pPr>
                        <w:r>
                          <w:rPr>
                            <w:rFonts w:hint="eastAsia" w:ascii="宋体" w:hAnsi="宋体" w:eastAsia="宋体" w:cs="宋体"/>
                            <w:i w:val="0"/>
                            <w:iCs w:val="0"/>
                            <w:color w:val="000000"/>
                            <w:kern w:val="0"/>
                            <w:sz w:val="20"/>
                            <w:szCs w:val="20"/>
                            <w:u w:val="none"/>
                            <w:lang w:val="en-US" w:eastAsia="zh-CN" w:bidi="ar"/>
                          </w:rPr>
                          <w:t>上上、特变、远东</w:t>
                        </w: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ascii="宋体" w:hAnsi="宋体" w:cs="宋体"/>
                            <w:color w:val="auto"/>
                            <w:sz w:val="20"/>
                            <w:szCs w:val="20"/>
                            <w:highlight w:val="none"/>
                          </w:rPr>
                        </w:pPr>
                        <w:r>
                          <w:rPr>
                            <w:rFonts w:hint="eastAsia" w:ascii="宋体" w:hAnsi="宋体" w:eastAsia="宋体" w:cs="宋体"/>
                            <w:i w:val="0"/>
                            <w:iCs w:val="0"/>
                            <w:color w:val="000000"/>
                            <w:kern w:val="0"/>
                            <w:sz w:val="20"/>
                            <w:szCs w:val="20"/>
                            <w:u w:val="none"/>
                            <w:lang w:val="en-US" w:eastAsia="zh-CN" w:bidi="ar"/>
                          </w:rPr>
                          <w:t>m</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ascii="宋体" w:hAnsi="宋体" w:cs="宋体"/>
                            <w:color w:val="auto"/>
                            <w:sz w:val="20"/>
                            <w:szCs w:val="20"/>
                            <w:highlight w:val="none"/>
                          </w:rPr>
                        </w:pPr>
                        <w:r>
                          <w:rPr>
                            <w:rFonts w:hint="eastAsia" w:ascii="宋体" w:hAnsi="宋体" w:eastAsia="宋体" w:cs="宋体"/>
                            <w:i w:val="0"/>
                            <w:iCs w:val="0"/>
                            <w:color w:val="000000"/>
                            <w:kern w:val="0"/>
                            <w:sz w:val="20"/>
                            <w:szCs w:val="20"/>
                            <w:u w:val="none"/>
                            <w:lang w:val="en-US" w:eastAsia="zh-CN" w:bidi="ar"/>
                          </w:rPr>
                          <w:t xml:space="preserve">1668.82 </w:t>
                        </w:r>
                      </w:p>
                    </w:tc>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Arial Narrow" w:hAnsi="Arial Narrow" w:eastAsia="Arial Narrow" w:cs="Arial Narrow"/>
                            <w:color w:val="auto"/>
                            <w:sz w:val="20"/>
                            <w:szCs w:val="20"/>
                            <w:highlight w:val="none"/>
                          </w:rPr>
                        </w:pPr>
                      </w:p>
                    </w:tc>
                  </w:tr>
                  <w:tr>
                    <w:tblPrEx>
                      <w:tblCellMar>
                        <w:top w:w="0" w:type="dxa"/>
                        <w:left w:w="108" w:type="dxa"/>
                        <w:bottom w:w="0" w:type="dxa"/>
                        <w:right w:w="108" w:type="dxa"/>
                      </w:tblCellMar>
                    </w:tblPrEx>
                    <w:trPr>
                      <w:trHeight w:val="780"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ascii="宋体" w:hAnsi="宋体" w:cs="宋体"/>
                            <w:color w:val="auto"/>
                            <w:sz w:val="20"/>
                            <w:szCs w:val="20"/>
                            <w:highlight w:val="none"/>
                          </w:rPr>
                        </w:pPr>
                        <w:r>
                          <w:rPr>
                            <w:rFonts w:hint="eastAsia" w:ascii="宋体" w:hAnsi="宋体" w:eastAsia="宋体" w:cs="宋体"/>
                            <w:i w:val="0"/>
                            <w:iCs w:val="0"/>
                            <w:color w:val="000000"/>
                            <w:kern w:val="0"/>
                            <w:sz w:val="20"/>
                            <w:szCs w:val="20"/>
                            <w:u w:val="none"/>
                            <w:lang w:val="en-US" w:eastAsia="zh-CN" w:bidi="ar"/>
                          </w:rPr>
                          <w:t xml:space="preserve">10 </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cs="宋体"/>
                            <w:color w:val="auto"/>
                            <w:sz w:val="20"/>
                            <w:szCs w:val="20"/>
                            <w:highlight w:val="none"/>
                          </w:rPr>
                        </w:pPr>
                        <w:r>
                          <w:rPr>
                            <w:rFonts w:hint="eastAsia" w:ascii="宋体" w:hAnsi="宋体" w:eastAsia="宋体" w:cs="宋体"/>
                            <w:i w:val="0"/>
                            <w:iCs w:val="0"/>
                            <w:color w:val="000000"/>
                            <w:kern w:val="0"/>
                            <w:sz w:val="20"/>
                            <w:szCs w:val="20"/>
                            <w:u w:val="none"/>
                            <w:lang w:val="en-US" w:eastAsia="zh-CN" w:bidi="ar"/>
                          </w:rPr>
                          <w:t>控制线</w:t>
                        </w:r>
                      </w:p>
                    </w:tc>
                    <w:tc>
                      <w:tcPr>
                        <w:tcW w:w="44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cs="宋体"/>
                            <w:color w:val="auto"/>
                            <w:sz w:val="20"/>
                            <w:szCs w:val="20"/>
                            <w:highlight w:val="none"/>
                          </w:rPr>
                        </w:pPr>
                        <w:r>
                          <w:rPr>
                            <w:rFonts w:hint="eastAsia" w:ascii="宋体" w:hAnsi="宋体" w:eastAsia="宋体" w:cs="宋体"/>
                            <w:i w:val="0"/>
                            <w:iCs w:val="0"/>
                            <w:color w:val="000000"/>
                            <w:kern w:val="0"/>
                            <w:sz w:val="20"/>
                            <w:szCs w:val="20"/>
                            <w:u w:val="none"/>
                            <w:lang w:val="en-US" w:eastAsia="zh-CN" w:bidi="ar"/>
                          </w:rPr>
                          <w:t>WDZ-BYJ-2.5，敷设方式：桥架、配管内</w:t>
                        </w:r>
                      </w:p>
                    </w:tc>
                    <w:tc>
                      <w:tcPr>
                        <w:tcW w:w="11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cs="宋体"/>
                            <w:color w:val="auto"/>
                            <w:sz w:val="20"/>
                            <w:szCs w:val="20"/>
                            <w:highlight w:val="none"/>
                          </w:rPr>
                        </w:pPr>
                        <w:r>
                          <w:rPr>
                            <w:rFonts w:hint="eastAsia" w:ascii="宋体" w:hAnsi="宋体" w:eastAsia="宋体" w:cs="宋体"/>
                            <w:i w:val="0"/>
                            <w:iCs w:val="0"/>
                            <w:color w:val="000000"/>
                            <w:kern w:val="0"/>
                            <w:sz w:val="20"/>
                            <w:szCs w:val="20"/>
                            <w:u w:val="none"/>
                            <w:lang w:val="en-US" w:eastAsia="zh-CN" w:bidi="ar"/>
                          </w:rPr>
                          <w:t>上上、特变、远东</w:t>
                        </w: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ascii="宋体" w:hAnsi="宋体" w:cs="宋体"/>
                            <w:color w:val="auto"/>
                            <w:sz w:val="20"/>
                            <w:szCs w:val="20"/>
                            <w:highlight w:val="none"/>
                          </w:rPr>
                        </w:pPr>
                        <w:r>
                          <w:rPr>
                            <w:rFonts w:hint="eastAsia" w:ascii="宋体" w:hAnsi="宋体" w:eastAsia="宋体" w:cs="宋体"/>
                            <w:i w:val="0"/>
                            <w:iCs w:val="0"/>
                            <w:color w:val="000000"/>
                            <w:kern w:val="0"/>
                            <w:sz w:val="20"/>
                            <w:szCs w:val="20"/>
                            <w:u w:val="none"/>
                            <w:lang w:val="en-US" w:eastAsia="zh-CN" w:bidi="ar"/>
                          </w:rPr>
                          <w:t>m</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ascii="宋体" w:hAnsi="宋体" w:cs="宋体"/>
                            <w:color w:val="auto"/>
                            <w:sz w:val="20"/>
                            <w:szCs w:val="20"/>
                            <w:highlight w:val="none"/>
                          </w:rPr>
                        </w:pPr>
                        <w:r>
                          <w:rPr>
                            <w:rFonts w:hint="eastAsia" w:ascii="宋体" w:hAnsi="宋体" w:eastAsia="宋体" w:cs="宋体"/>
                            <w:i w:val="0"/>
                            <w:iCs w:val="0"/>
                            <w:color w:val="000000"/>
                            <w:kern w:val="0"/>
                            <w:sz w:val="20"/>
                            <w:szCs w:val="20"/>
                            <w:u w:val="none"/>
                            <w:lang w:val="en-US" w:eastAsia="zh-CN" w:bidi="ar"/>
                          </w:rPr>
                          <w:t xml:space="preserve">1010.70 </w:t>
                        </w:r>
                      </w:p>
                    </w:tc>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Arial Narrow" w:hAnsi="Arial Narrow" w:eastAsia="Arial Narrow" w:cs="Arial Narrow"/>
                            <w:color w:val="auto"/>
                            <w:sz w:val="20"/>
                            <w:szCs w:val="20"/>
                            <w:highlight w:val="none"/>
                          </w:rPr>
                        </w:pPr>
                      </w:p>
                    </w:tc>
                  </w:tr>
                  <w:tr>
                    <w:tblPrEx>
                      <w:tblCellMar>
                        <w:top w:w="0" w:type="dxa"/>
                        <w:left w:w="108" w:type="dxa"/>
                        <w:bottom w:w="0" w:type="dxa"/>
                        <w:right w:w="108" w:type="dxa"/>
                      </w:tblCellMar>
                    </w:tblPrEx>
                    <w:trPr>
                      <w:trHeight w:val="780"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ascii="宋体" w:hAnsi="宋体" w:cs="宋体"/>
                            <w:color w:val="auto"/>
                            <w:sz w:val="20"/>
                            <w:szCs w:val="20"/>
                            <w:highlight w:val="none"/>
                          </w:rPr>
                        </w:pPr>
                        <w:r>
                          <w:rPr>
                            <w:rFonts w:hint="eastAsia" w:ascii="宋体" w:hAnsi="宋体" w:eastAsia="宋体" w:cs="宋体"/>
                            <w:i w:val="0"/>
                            <w:iCs w:val="0"/>
                            <w:color w:val="000000"/>
                            <w:kern w:val="0"/>
                            <w:sz w:val="20"/>
                            <w:szCs w:val="20"/>
                            <w:u w:val="none"/>
                            <w:lang w:val="en-US" w:eastAsia="zh-CN" w:bidi="ar"/>
                          </w:rPr>
                          <w:t xml:space="preserve">11 </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cs="宋体"/>
                            <w:color w:val="auto"/>
                            <w:sz w:val="20"/>
                            <w:szCs w:val="20"/>
                            <w:highlight w:val="none"/>
                          </w:rPr>
                        </w:pPr>
                        <w:r>
                          <w:rPr>
                            <w:rFonts w:hint="eastAsia" w:ascii="宋体" w:hAnsi="宋体" w:eastAsia="宋体" w:cs="宋体"/>
                            <w:i w:val="0"/>
                            <w:iCs w:val="0"/>
                            <w:color w:val="000000"/>
                            <w:kern w:val="0"/>
                            <w:sz w:val="20"/>
                            <w:szCs w:val="20"/>
                            <w:u w:val="none"/>
                            <w:lang w:val="en-US" w:eastAsia="zh-CN" w:bidi="ar"/>
                          </w:rPr>
                          <w:t>控制线</w:t>
                        </w:r>
                      </w:p>
                    </w:tc>
                    <w:tc>
                      <w:tcPr>
                        <w:tcW w:w="44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cs="宋体"/>
                            <w:color w:val="auto"/>
                            <w:sz w:val="20"/>
                            <w:szCs w:val="20"/>
                            <w:highlight w:val="none"/>
                          </w:rPr>
                        </w:pPr>
                        <w:r>
                          <w:rPr>
                            <w:rFonts w:hint="eastAsia" w:ascii="宋体" w:hAnsi="宋体" w:eastAsia="宋体" w:cs="宋体"/>
                            <w:i w:val="0"/>
                            <w:iCs w:val="0"/>
                            <w:color w:val="000000"/>
                            <w:kern w:val="0"/>
                            <w:sz w:val="20"/>
                            <w:szCs w:val="20"/>
                            <w:u w:val="none"/>
                            <w:lang w:val="en-US" w:eastAsia="zh-CN" w:bidi="ar"/>
                          </w:rPr>
                          <w:t>WDZ-RVV-2X1.0，敷设方式：桥架、配管内</w:t>
                        </w:r>
                      </w:p>
                    </w:tc>
                    <w:tc>
                      <w:tcPr>
                        <w:tcW w:w="11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cs="宋体"/>
                            <w:color w:val="auto"/>
                            <w:sz w:val="20"/>
                            <w:szCs w:val="20"/>
                            <w:highlight w:val="none"/>
                          </w:rPr>
                        </w:pPr>
                        <w:r>
                          <w:rPr>
                            <w:rFonts w:hint="eastAsia" w:ascii="宋体" w:hAnsi="宋体" w:eastAsia="宋体" w:cs="宋体"/>
                            <w:i w:val="0"/>
                            <w:iCs w:val="0"/>
                            <w:color w:val="000000"/>
                            <w:kern w:val="0"/>
                            <w:sz w:val="20"/>
                            <w:szCs w:val="20"/>
                            <w:u w:val="none"/>
                            <w:lang w:val="en-US" w:eastAsia="zh-CN" w:bidi="ar"/>
                          </w:rPr>
                          <w:t>上上、特变、远东</w:t>
                        </w: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ascii="宋体" w:hAnsi="宋体" w:cs="宋体"/>
                            <w:color w:val="auto"/>
                            <w:sz w:val="20"/>
                            <w:szCs w:val="20"/>
                            <w:highlight w:val="none"/>
                          </w:rPr>
                        </w:pPr>
                        <w:r>
                          <w:rPr>
                            <w:rFonts w:hint="eastAsia" w:ascii="宋体" w:hAnsi="宋体" w:eastAsia="宋体" w:cs="宋体"/>
                            <w:i w:val="0"/>
                            <w:iCs w:val="0"/>
                            <w:color w:val="000000"/>
                            <w:kern w:val="0"/>
                            <w:sz w:val="20"/>
                            <w:szCs w:val="20"/>
                            <w:u w:val="none"/>
                            <w:lang w:val="en-US" w:eastAsia="zh-CN" w:bidi="ar"/>
                          </w:rPr>
                          <w:t>m</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ascii="宋体" w:hAnsi="宋体" w:cs="宋体"/>
                            <w:color w:val="auto"/>
                            <w:sz w:val="20"/>
                            <w:szCs w:val="20"/>
                            <w:highlight w:val="none"/>
                          </w:rPr>
                        </w:pPr>
                        <w:r>
                          <w:rPr>
                            <w:rFonts w:hint="eastAsia" w:ascii="宋体" w:hAnsi="宋体" w:eastAsia="宋体" w:cs="宋体"/>
                            <w:i w:val="0"/>
                            <w:iCs w:val="0"/>
                            <w:color w:val="000000"/>
                            <w:kern w:val="0"/>
                            <w:sz w:val="20"/>
                            <w:szCs w:val="20"/>
                            <w:u w:val="none"/>
                            <w:lang w:val="en-US" w:eastAsia="zh-CN" w:bidi="ar"/>
                          </w:rPr>
                          <w:t xml:space="preserve">2921.61 </w:t>
                        </w:r>
                      </w:p>
                    </w:tc>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Arial Narrow" w:hAnsi="Arial Narrow" w:eastAsia="Arial Narrow" w:cs="Arial Narrow"/>
                            <w:color w:val="auto"/>
                            <w:sz w:val="20"/>
                            <w:szCs w:val="20"/>
                            <w:highlight w:val="none"/>
                          </w:rPr>
                        </w:pPr>
                      </w:p>
                    </w:tc>
                  </w:tr>
                  <w:tr>
                    <w:tblPrEx>
                      <w:tblCellMar>
                        <w:top w:w="0" w:type="dxa"/>
                        <w:left w:w="108" w:type="dxa"/>
                        <w:bottom w:w="0" w:type="dxa"/>
                        <w:right w:w="108" w:type="dxa"/>
                      </w:tblCellMar>
                    </w:tblPrEx>
                    <w:trPr>
                      <w:trHeight w:val="780"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ascii="宋体" w:hAnsi="宋体" w:cs="宋体"/>
                            <w:color w:val="auto"/>
                            <w:sz w:val="20"/>
                            <w:szCs w:val="20"/>
                            <w:highlight w:val="none"/>
                          </w:rPr>
                        </w:pPr>
                        <w:r>
                          <w:rPr>
                            <w:rFonts w:hint="eastAsia" w:ascii="宋体" w:hAnsi="宋体" w:eastAsia="宋体" w:cs="宋体"/>
                            <w:i w:val="0"/>
                            <w:iCs w:val="0"/>
                            <w:color w:val="000000"/>
                            <w:kern w:val="0"/>
                            <w:sz w:val="20"/>
                            <w:szCs w:val="20"/>
                            <w:u w:val="none"/>
                            <w:lang w:val="en-US" w:eastAsia="zh-CN" w:bidi="ar"/>
                          </w:rPr>
                          <w:t xml:space="preserve">12 </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cs="宋体"/>
                            <w:color w:val="auto"/>
                            <w:sz w:val="20"/>
                            <w:szCs w:val="20"/>
                            <w:highlight w:val="none"/>
                          </w:rPr>
                        </w:pPr>
                        <w:r>
                          <w:rPr>
                            <w:rFonts w:hint="eastAsia" w:ascii="宋体" w:hAnsi="宋体" w:eastAsia="宋体" w:cs="宋体"/>
                            <w:i w:val="0"/>
                            <w:iCs w:val="0"/>
                            <w:color w:val="000000"/>
                            <w:kern w:val="0"/>
                            <w:sz w:val="20"/>
                            <w:szCs w:val="20"/>
                            <w:u w:val="none"/>
                            <w:lang w:val="en-US" w:eastAsia="zh-CN" w:bidi="ar"/>
                          </w:rPr>
                          <w:t>控制线</w:t>
                        </w:r>
                      </w:p>
                    </w:tc>
                    <w:tc>
                      <w:tcPr>
                        <w:tcW w:w="44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cs="宋体"/>
                            <w:color w:val="auto"/>
                            <w:sz w:val="20"/>
                            <w:szCs w:val="20"/>
                            <w:highlight w:val="none"/>
                          </w:rPr>
                        </w:pPr>
                        <w:r>
                          <w:rPr>
                            <w:rFonts w:hint="eastAsia" w:ascii="宋体" w:hAnsi="宋体" w:eastAsia="宋体" w:cs="宋体"/>
                            <w:i w:val="0"/>
                            <w:iCs w:val="0"/>
                            <w:color w:val="000000"/>
                            <w:kern w:val="0"/>
                            <w:sz w:val="20"/>
                            <w:szCs w:val="20"/>
                            <w:u w:val="none"/>
                            <w:lang w:val="en-US" w:eastAsia="zh-CN" w:bidi="ar"/>
                          </w:rPr>
                          <w:t>WDZ-RVSP-2X1.0，敷设方式：桥架、配管内</w:t>
                        </w:r>
                      </w:p>
                    </w:tc>
                    <w:tc>
                      <w:tcPr>
                        <w:tcW w:w="11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cs="宋体"/>
                            <w:color w:val="auto"/>
                            <w:sz w:val="20"/>
                            <w:szCs w:val="20"/>
                            <w:highlight w:val="none"/>
                          </w:rPr>
                        </w:pPr>
                        <w:r>
                          <w:rPr>
                            <w:rFonts w:hint="eastAsia" w:ascii="宋体" w:hAnsi="宋体" w:eastAsia="宋体" w:cs="宋体"/>
                            <w:i w:val="0"/>
                            <w:iCs w:val="0"/>
                            <w:color w:val="000000"/>
                            <w:kern w:val="0"/>
                            <w:sz w:val="20"/>
                            <w:szCs w:val="20"/>
                            <w:u w:val="none"/>
                            <w:lang w:val="en-US" w:eastAsia="zh-CN" w:bidi="ar"/>
                          </w:rPr>
                          <w:t>上上、特变、远东</w:t>
                        </w: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ascii="宋体" w:hAnsi="宋体" w:cs="宋体"/>
                            <w:color w:val="auto"/>
                            <w:sz w:val="20"/>
                            <w:szCs w:val="20"/>
                            <w:highlight w:val="none"/>
                          </w:rPr>
                        </w:pPr>
                        <w:r>
                          <w:rPr>
                            <w:rFonts w:hint="eastAsia" w:ascii="宋体" w:hAnsi="宋体" w:eastAsia="宋体" w:cs="宋体"/>
                            <w:i w:val="0"/>
                            <w:iCs w:val="0"/>
                            <w:color w:val="000000"/>
                            <w:kern w:val="0"/>
                            <w:sz w:val="20"/>
                            <w:szCs w:val="20"/>
                            <w:u w:val="none"/>
                            <w:lang w:val="en-US" w:eastAsia="zh-CN" w:bidi="ar"/>
                          </w:rPr>
                          <w:t>m</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ascii="宋体" w:hAnsi="宋体" w:cs="宋体"/>
                            <w:color w:val="auto"/>
                            <w:sz w:val="20"/>
                            <w:szCs w:val="20"/>
                            <w:highlight w:val="none"/>
                          </w:rPr>
                        </w:pPr>
                        <w:r>
                          <w:rPr>
                            <w:rFonts w:hint="eastAsia" w:ascii="宋体" w:hAnsi="宋体" w:eastAsia="宋体" w:cs="宋体"/>
                            <w:i w:val="0"/>
                            <w:iCs w:val="0"/>
                            <w:color w:val="000000"/>
                            <w:kern w:val="0"/>
                            <w:sz w:val="20"/>
                            <w:szCs w:val="20"/>
                            <w:u w:val="none"/>
                            <w:lang w:val="en-US" w:eastAsia="zh-CN" w:bidi="ar"/>
                          </w:rPr>
                          <w:t xml:space="preserve">1401.89 </w:t>
                        </w:r>
                      </w:p>
                    </w:tc>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Arial Narrow" w:hAnsi="Arial Narrow" w:eastAsia="Arial Narrow" w:cs="Arial Narrow"/>
                            <w:color w:val="auto"/>
                            <w:sz w:val="20"/>
                            <w:szCs w:val="20"/>
                            <w:highlight w:val="none"/>
                          </w:rPr>
                        </w:pPr>
                      </w:p>
                    </w:tc>
                  </w:tr>
                  <w:tr>
                    <w:tblPrEx>
                      <w:tblCellMar>
                        <w:top w:w="0" w:type="dxa"/>
                        <w:left w:w="108" w:type="dxa"/>
                        <w:bottom w:w="0" w:type="dxa"/>
                        <w:right w:w="108" w:type="dxa"/>
                      </w:tblCellMar>
                    </w:tblPrEx>
                    <w:trPr>
                      <w:trHeight w:val="780"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ascii="宋体" w:hAnsi="宋体" w:cs="宋体"/>
                            <w:color w:val="auto"/>
                            <w:sz w:val="20"/>
                            <w:szCs w:val="20"/>
                            <w:highlight w:val="none"/>
                          </w:rPr>
                        </w:pPr>
                        <w:r>
                          <w:rPr>
                            <w:rFonts w:hint="eastAsia" w:ascii="宋体" w:hAnsi="宋体" w:eastAsia="宋体" w:cs="宋体"/>
                            <w:i w:val="0"/>
                            <w:iCs w:val="0"/>
                            <w:color w:val="000000"/>
                            <w:kern w:val="0"/>
                            <w:sz w:val="20"/>
                            <w:szCs w:val="20"/>
                            <w:u w:val="none"/>
                            <w:lang w:val="en-US" w:eastAsia="zh-CN" w:bidi="ar"/>
                          </w:rPr>
                          <w:t xml:space="preserve">13 </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cs="宋体"/>
                            <w:color w:val="auto"/>
                            <w:sz w:val="20"/>
                            <w:szCs w:val="20"/>
                            <w:highlight w:val="none"/>
                          </w:rPr>
                        </w:pPr>
                        <w:r>
                          <w:rPr>
                            <w:rFonts w:hint="eastAsia" w:ascii="宋体" w:hAnsi="宋体" w:eastAsia="宋体" w:cs="宋体"/>
                            <w:i w:val="0"/>
                            <w:iCs w:val="0"/>
                            <w:color w:val="000000"/>
                            <w:kern w:val="0"/>
                            <w:sz w:val="20"/>
                            <w:szCs w:val="20"/>
                            <w:u w:val="none"/>
                            <w:lang w:val="en-US" w:eastAsia="zh-CN" w:bidi="ar"/>
                          </w:rPr>
                          <w:t>控制线</w:t>
                        </w:r>
                      </w:p>
                    </w:tc>
                    <w:tc>
                      <w:tcPr>
                        <w:tcW w:w="44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cs="宋体"/>
                            <w:color w:val="auto"/>
                            <w:sz w:val="20"/>
                            <w:szCs w:val="20"/>
                            <w:highlight w:val="none"/>
                          </w:rPr>
                        </w:pPr>
                        <w:r>
                          <w:rPr>
                            <w:rFonts w:hint="eastAsia" w:ascii="宋体" w:hAnsi="宋体" w:eastAsia="宋体" w:cs="宋体"/>
                            <w:i w:val="0"/>
                            <w:iCs w:val="0"/>
                            <w:color w:val="000000"/>
                            <w:kern w:val="0"/>
                            <w:sz w:val="20"/>
                            <w:szCs w:val="20"/>
                            <w:u w:val="none"/>
                            <w:lang w:val="en-US" w:eastAsia="zh-CN" w:bidi="ar"/>
                          </w:rPr>
                          <w:t>WDZ-RVV-4X1.0，敷设方式：桥架、配管内</w:t>
                        </w:r>
                      </w:p>
                    </w:tc>
                    <w:tc>
                      <w:tcPr>
                        <w:tcW w:w="11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cs="宋体"/>
                            <w:color w:val="auto"/>
                            <w:sz w:val="20"/>
                            <w:szCs w:val="20"/>
                            <w:highlight w:val="none"/>
                          </w:rPr>
                        </w:pPr>
                        <w:r>
                          <w:rPr>
                            <w:rFonts w:hint="eastAsia" w:ascii="宋体" w:hAnsi="宋体" w:eastAsia="宋体" w:cs="宋体"/>
                            <w:i w:val="0"/>
                            <w:iCs w:val="0"/>
                            <w:color w:val="000000"/>
                            <w:kern w:val="0"/>
                            <w:sz w:val="20"/>
                            <w:szCs w:val="20"/>
                            <w:u w:val="none"/>
                            <w:lang w:val="en-US" w:eastAsia="zh-CN" w:bidi="ar"/>
                          </w:rPr>
                          <w:t>上上、特变、远东</w:t>
                        </w: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ascii="宋体" w:hAnsi="宋体" w:cs="宋体"/>
                            <w:color w:val="auto"/>
                            <w:sz w:val="20"/>
                            <w:szCs w:val="20"/>
                            <w:highlight w:val="none"/>
                          </w:rPr>
                        </w:pPr>
                        <w:r>
                          <w:rPr>
                            <w:rFonts w:hint="eastAsia" w:ascii="宋体" w:hAnsi="宋体" w:eastAsia="宋体" w:cs="宋体"/>
                            <w:i w:val="0"/>
                            <w:iCs w:val="0"/>
                            <w:color w:val="000000"/>
                            <w:kern w:val="0"/>
                            <w:sz w:val="20"/>
                            <w:szCs w:val="20"/>
                            <w:u w:val="none"/>
                            <w:lang w:val="en-US" w:eastAsia="zh-CN" w:bidi="ar"/>
                          </w:rPr>
                          <w:t>m</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ascii="宋体" w:hAnsi="宋体" w:cs="宋体"/>
                            <w:color w:val="auto"/>
                            <w:sz w:val="20"/>
                            <w:szCs w:val="20"/>
                            <w:highlight w:val="none"/>
                          </w:rPr>
                        </w:pPr>
                        <w:r>
                          <w:rPr>
                            <w:rFonts w:hint="eastAsia" w:ascii="宋体" w:hAnsi="宋体" w:eastAsia="宋体" w:cs="宋体"/>
                            <w:i w:val="0"/>
                            <w:iCs w:val="0"/>
                            <w:color w:val="000000"/>
                            <w:kern w:val="0"/>
                            <w:sz w:val="20"/>
                            <w:szCs w:val="20"/>
                            <w:u w:val="none"/>
                            <w:lang w:val="en-US" w:eastAsia="zh-CN" w:bidi="ar"/>
                          </w:rPr>
                          <w:t xml:space="preserve">2285.52 </w:t>
                        </w:r>
                      </w:p>
                    </w:tc>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Arial Narrow" w:hAnsi="Arial Narrow" w:eastAsia="Arial Narrow" w:cs="Arial Narrow"/>
                            <w:color w:val="auto"/>
                            <w:sz w:val="20"/>
                            <w:szCs w:val="20"/>
                            <w:highlight w:val="none"/>
                          </w:rPr>
                        </w:pPr>
                      </w:p>
                    </w:tc>
                  </w:tr>
                  <w:tr>
                    <w:tblPrEx>
                      <w:tblCellMar>
                        <w:top w:w="0" w:type="dxa"/>
                        <w:left w:w="108" w:type="dxa"/>
                        <w:bottom w:w="0" w:type="dxa"/>
                        <w:right w:w="108" w:type="dxa"/>
                      </w:tblCellMar>
                    </w:tblPrEx>
                    <w:trPr>
                      <w:trHeight w:val="960"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ascii="宋体" w:hAnsi="宋体" w:cs="宋体"/>
                            <w:color w:val="auto"/>
                            <w:sz w:val="20"/>
                            <w:szCs w:val="20"/>
                            <w:highlight w:val="none"/>
                          </w:rPr>
                        </w:pPr>
                        <w:r>
                          <w:rPr>
                            <w:rFonts w:hint="eastAsia" w:ascii="宋体" w:hAnsi="宋体" w:eastAsia="宋体" w:cs="宋体"/>
                            <w:i w:val="0"/>
                            <w:iCs w:val="0"/>
                            <w:color w:val="000000"/>
                            <w:kern w:val="0"/>
                            <w:sz w:val="20"/>
                            <w:szCs w:val="20"/>
                            <w:u w:val="none"/>
                            <w:lang w:val="en-US" w:eastAsia="zh-CN" w:bidi="ar"/>
                          </w:rPr>
                          <w:t xml:space="preserve">14 </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cs="宋体"/>
                            <w:color w:val="auto"/>
                            <w:sz w:val="20"/>
                            <w:szCs w:val="20"/>
                            <w:highlight w:val="none"/>
                          </w:rPr>
                        </w:pPr>
                        <w:r>
                          <w:rPr>
                            <w:rFonts w:hint="eastAsia" w:ascii="宋体" w:hAnsi="宋体" w:eastAsia="宋体" w:cs="宋体"/>
                            <w:i w:val="0"/>
                            <w:iCs w:val="0"/>
                            <w:color w:val="000000"/>
                            <w:kern w:val="0"/>
                            <w:sz w:val="20"/>
                            <w:szCs w:val="20"/>
                            <w:u w:val="none"/>
                            <w:lang w:val="en-US" w:eastAsia="zh-CN" w:bidi="ar"/>
                          </w:rPr>
                          <w:t>线管</w:t>
                        </w:r>
                      </w:p>
                    </w:tc>
                    <w:tc>
                      <w:tcPr>
                        <w:tcW w:w="44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cs="宋体"/>
                            <w:color w:val="auto"/>
                            <w:sz w:val="20"/>
                            <w:szCs w:val="20"/>
                            <w:highlight w:val="none"/>
                          </w:rPr>
                        </w:pPr>
                        <w:r>
                          <w:rPr>
                            <w:rFonts w:hint="eastAsia" w:ascii="宋体" w:hAnsi="宋体" w:eastAsia="宋体" w:cs="宋体"/>
                            <w:i w:val="0"/>
                            <w:iCs w:val="0"/>
                            <w:color w:val="000000"/>
                            <w:kern w:val="0"/>
                            <w:sz w:val="20"/>
                            <w:szCs w:val="20"/>
                            <w:u w:val="none"/>
                            <w:lang w:val="en-US" w:eastAsia="zh-CN" w:bidi="ar"/>
                          </w:rPr>
                          <w:t>JDG20，配置形式及部位：砖、混凝土结构明暗配；含热浸锌吊支架、接地及防腐等；开槽补槽粉刷等一切相关费用</w:t>
                        </w:r>
                      </w:p>
                    </w:tc>
                    <w:tc>
                      <w:tcPr>
                        <w:tcW w:w="11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ascii="宋体" w:hAnsi="宋体" w:cs="宋体"/>
                            <w:color w:val="auto"/>
                            <w:sz w:val="20"/>
                            <w:szCs w:val="20"/>
                            <w:highlight w:val="none"/>
                          </w:rPr>
                        </w:pPr>
                        <w:r>
                          <w:rPr>
                            <w:rFonts w:hint="eastAsia" w:ascii="宋体" w:hAnsi="宋体" w:eastAsia="宋体" w:cs="宋体"/>
                            <w:i w:val="0"/>
                            <w:iCs w:val="0"/>
                            <w:color w:val="000000"/>
                            <w:kern w:val="0"/>
                            <w:sz w:val="20"/>
                            <w:szCs w:val="20"/>
                            <w:u w:val="none"/>
                            <w:lang w:val="en-US" w:eastAsia="zh-CN" w:bidi="ar"/>
                          </w:rPr>
                          <w:t>/</w:t>
                        </w: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ascii="宋体" w:hAnsi="宋体" w:cs="宋体"/>
                            <w:color w:val="auto"/>
                            <w:sz w:val="20"/>
                            <w:szCs w:val="20"/>
                            <w:highlight w:val="none"/>
                          </w:rPr>
                        </w:pPr>
                        <w:r>
                          <w:rPr>
                            <w:rFonts w:hint="eastAsia" w:ascii="宋体" w:hAnsi="宋体" w:eastAsia="宋体" w:cs="宋体"/>
                            <w:i w:val="0"/>
                            <w:iCs w:val="0"/>
                            <w:color w:val="000000"/>
                            <w:kern w:val="0"/>
                            <w:sz w:val="20"/>
                            <w:szCs w:val="20"/>
                            <w:u w:val="none"/>
                            <w:lang w:val="en-US" w:eastAsia="zh-CN" w:bidi="ar"/>
                          </w:rPr>
                          <w:t>m</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ascii="宋体" w:hAnsi="宋体" w:cs="宋体"/>
                            <w:color w:val="auto"/>
                            <w:sz w:val="20"/>
                            <w:szCs w:val="20"/>
                            <w:highlight w:val="none"/>
                          </w:rPr>
                        </w:pPr>
                        <w:r>
                          <w:rPr>
                            <w:rFonts w:hint="eastAsia" w:ascii="宋体" w:hAnsi="宋体" w:eastAsia="宋体" w:cs="宋体"/>
                            <w:i w:val="0"/>
                            <w:iCs w:val="0"/>
                            <w:color w:val="000000"/>
                            <w:kern w:val="0"/>
                            <w:sz w:val="20"/>
                            <w:szCs w:val="20"/>
                            <w:u w:val="none"/>
                            <w:lang w:val="en-US" w:eastAsia="zh-CN" w:bidi="ar"/>
                          </w:rPr>
                          <w:t xml:space="preserve">987.87 </w:t>
                        </w:r>
                      </w:p>
                    </w:tc>
                    <w:tc>
                      <w:tcPr>
                        <w:tcW w:w="668"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720"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ascii="宋体" w:hAnsi="宋体" w:cs="宋体"/>
                            <w:color w:val="auto"/>
                            <w:sz w:val="20"/>
                            <w:szCs w:val="20"/>
                            <w:highlight w:val="none"/>
                          </w:rPr>
                        </w:pPr>
                        <w:r>
                          <w:rPr>
                            <w:rFonts w:hint="eastAsia" w:ascii="宋体" w:hAnsi="宋体" w:eastAsia="宋体" w:cs="宋体"/>
                            <w:i w:val="0"/>
                            <w:iCs w:val="0"/>
                            <w:color w:val="000000"/>
                            <w:kern w:val="0"/>
                            <w:sz w:val="20"/>
                            <w:szCs w:val="20"/>
                            <w:u w:val="none"/>
                            <w:lang w:val="en-US" w:eastAsia="zh-CN" w:bidi="ar"/>
                          </w:rPr>
                          <w:t xml:space="preserve">15 </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cs="宋体"/>
                            <w:color w:val="auto"/>
                            <w:sz w:val="20"/>
                            <w:szCs w:val="20"/>
                            <w:highlight w:val="none"/>
                          </w:rPr>
                        </w:pPr>
                        <w:r>
                          <w:rPr>
                            <w:rFonts w:hint="eastAsia" w:ascii="宋体" w:hAnsi="宋体" w:eastAsia="宋体" w:cs="宋体"/>
                            <w:i w:val="0"/>
                            <w:iCs w:val="0"/>
                            <w:color w:val="000000"/>
                            <w:kern w:val="0"/>
                            <w:sz w:val="20"/>
                            <w:szCs w:val="20"/>
                            <w:u w:val="none"/>
                            <w:lang w:val="en-US" w:eastAsia="zh-CN" w:bidi="ar"/>
                          </w:rPr>
                          <w:t>线管</w:t>
                        </w:r>
                      </w:p>
                    </w:tc>
                    <w:tc>
                      <w:tcPr>
                        <w:tcW w:w="44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cs="宋体"/>
                            <w:color w:val="auto"/>
                            <w:sz w:val="20"/>
                            <w:szCs w:val="20"/>
                            <w:highlight w:val="none"/>
                          </w:rPr>
                        </w:pPr>
                        <w:r>
                          <w:rPr>
                            <w:rFonts w:hint="eastAsia" w:ascii="宋体" w:hAnsi="宋体" w:eastAsia="宋体" w:cs="宋体"/>
                            <w:i w:val="0"/>
                            <w:iCs w:val="0"/>
                            <w:color w:val="000000"/>
                            <w:kern w:val="0"/>
                            <w:sz w:val="20"/>
                            <w:szCs w:val="20"/>
                            <w:u w:val="none"/>
                            <w:lang w:val="en-US" w:eastAsia="zh-CN" w:bidi="ar"/>
                          </w:rPr>
                          <w:t>JDG25，配置形式及部位：砖、混凝土结构明暗配；含热浸锌吊支架、接地及防腐等；开槽补槽粉刷等一切相关费用</w:t>
                        </w:r>
                      </w:p>
                    </w:tc>
                    <w:tc>
                      <w:tcPr>
                        <w:tcW w:w="11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ascii="宋体" w:hAnsi="宋体" w:cs="宋体"/>
                            <w:color w:val="auto"/>
                            <w:sz w:val="20"/>
                            <w:szCs w:val="20"/>
                            <w:highlight w:val="none"/>
                          </w:rPr>
                        </w:pPr>
                        <w:r>
                          <w:rPr>
                            <w:rFonts w:hint="eastAsia" w:ascii="宋体" w:hAnsi="宋体" w:eastAsia="宋体" w:cs="宋体"/>
                            <w:i w:val="0"/>
                            <w:iCs w:val="0"/>
                            <w:color w:val="000000"/>
                            <w:kern w:val="0"/>
                            <w:sz w:val="20"/>
                            <w:szCs w:val="20"/>
                            <w:u w:val="none"/>
                            <w:lang w:val="en-US" w:eastAsia="zh-CN" w:bidi="ar"/>
                          </w:rPr>
                          <w:t>/</w:t>
                        </w: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ascii="宋体" w:hAnsi="宋体" w:cs="宋体"/>
                            <w:color w:val="auto"/>
                            <w:sz w:val="20"/>
                            <w:szCs w:val="20"/>
                            <w:highlight w:val="none"/>
                          </w:rPr>
                        </w:pPr>
                        <w:r>
                          <w:rPr>
                            <w:rFonts w:hint="eastAsia" w:ascii="宋体" w:hAnsi="宋体" w:eastAsia="宋体" w:cs="宋体"/>
                            <w:i w:val="0"/>
                            <w:iCs w:val="0"/>
                            <w:color w:val="000000"/>
                            <w:kern w:val="0"/>
                            <w:sz w:val="20"/>
                            <w:szCs w:val="20"/>
                            <w:u w:val="none"/>
                            <w:lang w:val="en-US" w:eastAsia="zh-CN" w:bidi="ar"/>
                          </w:rPr>
                          <w:t>m</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ascii="宋体" w:hAnsi="宋体" w:cs="宋体"/>
                            <w:color w:val="auto"/>
                            <w:sz w:val="20"/>
                            <w:szCs w:val="20"/>
                            <w:highlight w:val="none"/>
                          </w:rPr>
                        </w:pPr>
                        <w:r>
                          <w:rPr>
                            <w:rFonts w:hint="eastAsia" w:ascii="宋体" w:hAnsi="宋体" w:eastAsia="宋体" w:cs="宋体"/>
                            <w:i w:val="0"/>
                            <w:iCs w:val="0"/>
                            <w:color w:val="000000"/>
                            <w:kern w:val="0"/>
                            <w:sz w:val="20"/>
                            <w:szCs w:val="20"/>
                            <w:u w:val="none"/>
                            <w:lang w:val="en-US" w:eastAsia="zh-CN" w:bidi="ar"/>
                          </w:rPr>
                          <w:t xml:space="preserve">346.77 </w:t>
                        </w:r>
                      </w:p>
                    </w:tc>
                    <w:tc>
                      <w:tcPr>
                        <w:tcW w:w="668"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270"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ascii="宋体" w:hAnsi="宋体" w:cs="宋体"/>
                            <w:color w:val="auto"/>
                            <w:sz w:val="20"/>
                            <w:szCs w:val="20"/>
                            <w:highlight w:val="none"/>
                          </w:rPr>
                        </w:pPr>
                        <w:r>
                          <w:rPr>
                            <w:rFonts w:hint="eastAsia" w:ascii="宋体" w:hAnsi="宋体" w:eastAsia="宋体" w:cs="宋体"/>
                            <w:i w:val="0"/>
                            <w:iCs w:val="0"/>
                            <w:color w:val="000000"/>
                            <w:kern w:val="0"/>
                            <w:sz w:val="20"/>
                            <w:szCs w:val="20"/>
                            <w:u w:val="none"/>
                            <w:lang w:val="en-US" w:eastAsia="zh-CN" w:bidi="ar"/>
                          </w:rPr>
                          <w:t xml:space="preserve">16 </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cs="宋体"/>
                            <w:color w:val="auto"/>
                            <w:sz w:val="20"/>
                            <w:szCs w:val="20"/>
                            <w:highlight w:val="none"/>
                          </w:rPr>
                        </w:pPr>
                        <w:r>
                          <w:rPr>
                            <w:rFonts w:hint="eastAsia" w:ascii="宋体" w:hAnsi="宋体" w:eastAsia="宋体" w:cs="宋体"/>
                            <w:i w:val="0"/>
                            <w:iCs w:val="0"/>
                            <w:color w:val="000000"/>
                            <w:kern w:val="0"/>
                            <w:sz w:val="20"/>
                            <w:szCs w:val="20"/>
                            <w:u w:val="none"/>
                            <w:lang w:val="en-US" w:eastAsia="zh-CN" w:bidi="ar"/>
                          </w:rPr>
                          <w:t>接线盒</w:t>
                        </w:r>
                      </w:p>
                    </w:tc>
                    <w:tc>
                      <w:tcPr>
                        <w:tcW w:w="44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cs="宋体"/>
                            <w:color w:val="auto"/>
                            <w:sz w:val="20"/>
                            <w:szCs w:val="20"/>
                            <w:highlight w:val="none"/>
                          </w:rPr>
                        </w:pPr>
                        <w:r>
                          <w:rPr>
                            <w:rFonts w:hint="eastAsia" w:ascii="宋体" w:hAnsi="宋体" w:eastAsia="宋体" w:cs="宋体"/>
                            <w:i w:val="0"/>
                            <w:iCs w:val="0"/>
                            <w:color w:val="000000"/>
                            <w:kern w:val="0"/>
                            <w:sz w:val="20"/>
                            <w:szCs w:val="20"/>
                            <w:u w:val="none"/>
                            <w:lang w:val="en-US" w:eastAsia="zh-CN" w:bidi="ar"/>
                          </w:rPr>
                          <w:t>钢制接线盒、过线盒安装</w:t>
                        </w:r>
                      </w:p>
                    </w:tc>
                    <w:tc>
                      <w:tcPr>
                        <w:tcW w:w="11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ascii="宋体" w:hAnsi="宋体" w:cs="宋体"/>
                            <w:color w:val="auto"/>
                            <w:sz w:val="20"/>
                            <w:szCs w:val="20"/>
                            <w:highlight w:val="none"/>
                          </w:rPr>
                        </w:pPr>
                        <w:r>
                          <w:rPr>
                            <w:rFonts w:hint="eastAsia" w:ascii="宋体" w:hAnsi="宋体" w:eastAsia="宋体" w:cs="宋体"/>
                            <w:i w:val="0"/>
                            <w:iCs w:val="0"/>
                            <w:color w:val="000000"/>
                            <w:kern w:val="0"/>
                            <w:sz w:val="20"/>
                            <w:szCs w:val="20"/>
                            <w:u w:val="none"/>
                            <w:lang w:val="en-US" w:eastAsia="zh-CN" w:bidi="ar"/>
                          </w:rPr>
                          <w:t>/</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cs="宋体"/>
                            <w:color w:val="auto"/>
                            <w:sz w:val="20"/>
                            <w:szCs w:val="20"/>
                            <w:highlight w:val="none"/>
                          </w:rPr>
                        </w:pPr>
                        <w:r>
                          <w:rPr>
                            <w:rFonts w:hint="eastAsia" w:ascii="宋体" w:hAnsi="宋体" w:eastAsia="宋体" w:cs="宋体"/>
                            <w:i w:val="0"/>
                            <w:iCs w:val="0"/>
                            <w:color w:val="000000"/>
                            <w:kern w:val="0"/>
                            <w:sz w:val="20"/>
                            <w:szCs w:val="20"/>
                            <w:u w:val="none"/>
                            <w:lang w:val="en-US" w:eastAsia="zh-CN" w:bidi="ar"/>
                          </w:rPr>
                          <w:t>个</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ascii="宋体" w:hAnsi="宋体" w:cs="宋体"/>
                            <w:color w:val="auto"/>
                            <w:sz w:val="20"/>
                            <w:szCs w:val="20"/>
                            <w:highlight w:val="none"/>
                          </w:rPr>
                        </w:pPr>
                        <w:r>
                          <w:rPr>
                            <w:rFonts w:hint="eastAsia" w:ascii="宋体" w:hAnsi="宋体" w:eastAsia="宋体" w:cs="宋体"/>
                            <w:i w:val="0"/>
                            <w:iCs w:val="0"/>
                            <w:color w:val="000000"/>
                            <w:kern w:val="0"/>
                            <w:sz w:val="20"/>
                            <w:szCs w:val="20"/>
                            <w:u w:val="none"/>
                            <w:lang w:val="en-US" w:eastAsia="zh-CN" w:bidi="ar"/>
                          </w:rPr>
                          <w:t xml:space="preserve">198.00 </w:t>
                        </w:r>
                      </w:p>
                    </w:tc>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Arial Narrow" w:hAnsi="Arial Narrow" w:eastAsia="Arial Narrow" w:cs="Arial Narrow"/>
                            <w:color w:val="auto"/>
                            <w:sz w:val="20"/>
                            <w:szCs w:val="20"/>
                            <w:highlight w:val="none"/>
                          </w:rPr>
                        </w:pPr>
                      </w:p>
                    </w:tc>
                  </w:tr>
                  <w:tr>
                    <w:tblPrEx>
                      <w:tblCellMar>
                        <w:top w:w="0" w:type="dxa"/>
                        <w:left w:w="108" w:type="dxa"/>
                        <w:bottom w:w="0" w:type="dxa"/>
                        <w:right w:w="108" w:type="dxa"/>
                      </w:tblCellMar>
                    </w:tblPrEx>
                    <w:trPr>
                      <w:trHeight w:val="270"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ascii="宋体" w:hAnsi="宋体" w:cs="宋体"/>
                            <w:color w:val="auto"/>
                            <w:sz w:val="20"/>
                            <w:szCs w:val="20"/>
                            <w:highlight w:val="none"/>
                          </w:rPr>
                        </w:pPr>
                        <w:r>
                          <w:rPr>
                            <w:rFonts w:hint="eastAsia" w:ascii="宋体" w:hAnsi="宋体" w:eastAsia="宋体" w:cs="宋体"/>
                            <w:i w:val="0"/>
                            <w:iCs w:val="0"/>
                            <w:color w:val="000000"/>
                            <w:kern w:val="0"/>
                            <w:sz w:val="20"/>
                            <w:szCs w:val="20"/>
                            <w:u w:val="none"/>
                            <w:lang w:val="en-US" w:eastAsia="zh-CN" w:bidi="ar"/>
                          </w:rPr>
                          <w:t xml:space="preserve">17 </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cs="宋体"/>
                            <w:color w:val="auto"/>
                            <w:sz w:val="20"/>
                            <w:szCs w:val="20"/>
                            <w:highlight w:val="none"/>
                          </w:rPr>
                        </w:pPr>
                        <w:r>
                          <w:rPr>
                            <w:rFonts w:hint="eastAsia" w:ascii="宋体" w:hAnsi="宋体" w:eastAsia="宋体" w:cs="宋体"/>
                            <w:i w:val="0"/>
                            <w:iCs w:val="0"/>
                            <w:color w:val="000000"/>
                            <w:kern w:val="0"/>
                            <w:sz w:val="20"/>
                            <w:szCs w:val="20"/>
                            <w:u w:val="none"/>
                            <w:lang w:val="en-US" w:eastAsia="zh-CN" w:bidi="ar"/>
                          </w:rPr>
                          <w:t>门禁系统调试与检测</w:t>
                        </w:r>
                      </w:p>
                    </w:tc>
                    <w:tc>
                      <w:tcPr>
                        <w:tcW w:w="447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color w:val="auto"/>
                            <w:sz w:val="20"/>
                            <w:szCs w:val="20"/>
                            <w:highlight w:val="none"/>
                          </w:rPr>
                        </w:pPr>
                      </w:p>
                    </w:tc>
                    <w:tc>
                      <w:tcPr>
                        <w:tcW w:w="11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cs="宋体"/>
                            <w:color w:val="auto"/>
                            <w:sz w:val="20"/>
                            <w:szCs w:val="20"/>
                            <w:highlight w:val="none"/>
                          </w:rPr>
                        </w:pPr>
                        <w:r>
                          <w:rPr>
                            <w:rFonts w:hint="eastAsia" w:ascii="宋体" w:hAnsi="宋体" w:eastAsia="宋体" w:cs="宋体"/>
                            <w:i w:val="0"/>
                            <w:iCs w:val="0"/>
                            <w:color w:val="000000"/>
                            <w:kern w:val="0"/>
                            <w:sz w:val="20"/>
                            <w:szCs w:val="20"/>
                            <w:u w:val="none"/>
                            <w:lang w:val="en-US" w:eastAsia="zh-CN" w:bidi="ar"/>
                          </w:rPr>
                          <w:t>符合验收要求</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cs="宋体"/>
                            <w:color w:val="auto"/>
                            <w:sz w:val="20"/>
                            <w:szCs w:val="20"/>
                            <w:highlight w:val="none"/>
                          </w:rPr>
                        </w:pPr>
                        <w:r>
                          <w:rPr>
                            <w:rFonts w:hint="eastAsia" w:ascii="宋体" w:hAnsi="宋体" w:eastAsia="宋体" w:cs="宋体"/>
                            <w:i w:val="0"/>
                            <w:iCs w:val="0"/>
                            <w:color w:val="000000"/>
                            <w:kern w:val="0"/>
                            <w:sz w:val="20"/>
                            <w:szCs w:val="20"/>
                            <w:u w:val="none"/>
                            <w:lang w:val="en-US" w:eastAsia="zh-CN" w:bidi="ar"/>
                          </w:rPr>
                          <w:t>项</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ascii="宋体" w:hAnsi="宋体" w:cs="宋体"/>
                            <w:color w:val="auto"/>
                            <w:sz w:val="20"/>
                            <w:szCs w:val="20"/>
                            <w:highlight w:val="none"/>
                          </w:rPr>
                        </w:pPr>
                        <w:r>
                          <w:rPr>
                            <w:rFonts w:hint="eastAsia" w:ascii="宋体" w:hAnsi="宋体" w:eastAsia="宋体" w:cs="宋体"/>
                            <w:i w:val="0"/>
                            <w:iCs w:val="0"/>
                            <w:color w:val="000000"/>
                            <w:kern w:val="0"/>
                            <w:sz w:val="20"/>
                            <w:szCs w:val="20"/>
                            <w:u w:val="none"/>
                            <w:lang w:val="en-US" w:eastAsia="zh-CN" w:bidi="ar"/>
                          </w:rPr>
                          <w:t xml:space="preserve">6.00 </w:t>
                        </w:r>
                      </w:p>
                    </w:tc>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Arial Narrow" w:hAnsi="Arial Narrow" w:eastAsia="Arial Narrow" w:cs="Arial Narrow"/>
                            <w:color w:val="auto"/>
                            <w:sz w:val="20"/>
                            <w:szCs w:val="20"/>
                            <w:highlight w:val="none"/>
                          </w:rPr>
                        </w:pPr>
                      </w:p>
                    </w:tc>
                  </w:tr>
                  <w:tr>
                    <w:tblPrEx>
                      <w:tblCellMar>
                        <w:top w:w="0" w:type="dxa"/>
                        <w:left w:w="108" w:type="dxa"/>
                        <w:bottom w:w="0" w:type="dxa"/>
                        <w:right w:w="108" w:type="dxa"/>
                      </w:tblCellMar>
                    </w:tblPrEx>
                    <w:trPr>
                      <w:trHeight w:val="270"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b/>
                            <w:bCs/>
                            <w:color w:val="auto"/>
                            <w:sz w:val="20"/>
                            <w:szCs w:val="20"/>
                            <w:highlight w:val="none"/>
                          </w:rPr>
                        </w:pPr>
                        <w:r>
                          <w:rPr>
                            <w:rFonts w:hint="eastAsia" w:ascii="宋体" w:hAnsi="宋体" w:cs="宋体"/>
                            <w:b/>
                            <w:bCs/>
                            <w:color w:val="auto"/>
                            <w:sz w:val="20"/>
                            <w:szCs w:val="20"/>
                            <w:highlight w:val="none"/>
                            <w:lang w:bidi="ar"/>
                          </w:rPr>
                          <w:t>六</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b/>
                            <w:bCs/>
                            <w:color w:val="auto"/>
                            <w:sz w:val="20"/>
                            <w:szCs w:val="20"/>
                            <w:highlight w:val="none"/>
                          </w:rPr>
                        </w:pPr>
                        <w:r>
                          <w:rPr>
                            <w:rFonts w:hint="eastAsia" w:ascii="宋体" w:hAnsi="宋体" w:cs="宋体"/>
                            <w:b/>
                            <w:bCs/>
                            <w:color w:val="auto"/>
                            <w:sz w:val="20"/>
                            <w:szCs w:val="20"/>
                            <w:highlight w:val="none"/>
                            <w:lang w:bidi="ar"/>
                          </w:rPr>
                          <w:t>呼叫系统</w:t>
                        </w:r>
                      </w:p>
                    </w:tc>
                    <w:tc>
                      <w:tcPr>
                        <w:tcW w:w="447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color w:val="auto"/>
                            <w:sz w:val="20"/>
                            <w:szCs w:val="20"/>
                            <w:highlight w:val="none"/>
                          </w:rPr>
                        </w:pPr>
                      </w:p>
                    </w:tc>
                    <w:tc>
                      <w:tcPr>
                        <w:tcW w:w="115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 w:val="20"/>
                            <w:szCs w:val="20"/>
                            <w:highlight w:val="none"/>
                          </w:rPr>
                        </w:pP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auto"/>
                            <w:sz w:val="20"/>
                            <w:szCs w:val="20"/>
                            <w:highlight w:val="none"/>
                          </w:rPr>
                        </w:pP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auto"/>
                            <w:sz w:val="20"/>
                            <w:szCs w:val="20"/>
                            <w:highlight w:val="none"/>
                          </w:rPr>
                        </w:pPr>
                      </w:p>
                    </w:tc>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Arial Narrow" w:hAnsi="Arial Narrow" w:eastAsia="Arial Narrow" w:cs="Arial Narrow"/>
                            <w:color w:val="auto"/>
                            <w:sz w:val="20"/>
                            <w:szCs w:val="20"/>
                            <w:highlight w:val="none"/>
                          </w:rPr>
                        </w:pPr>
                      </w:p>
                    </w:tc>
                  </w:tr>
                  <w:tr>
                    <w:tblPrEx>
                      <w:tblCellMar>
                        <w:top w:w="0" w:type="dxa"/>
                        <w:left w:w="108" w:type="dxa"/>
                        <w:bottom w:w="0" w:type="dxa"/>
                        <w:right w:w="108" w:type="dxa"/>
                      </w:tblCellMar>
                    </w:tblPrEx>
                    <w:trPr>
                      <w:trHeight w:val="8190"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 </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呼叫对讲主机</w:t>
                        </w:r>
                      </w:p>
                    </w:tc>
                    <w:tc>
                      <w:tcPr>
                        <w:tcW w:w="4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屏幕 ≥10寸多点触控电容显示屏</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分辨率 ≥1024*600</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操作系统 Android6.0以上</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接口 485通讯接口、报警输出口、音频输入接口</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支持协议 支持TCP、UDP、RTP、ARP、IGMP、HTTP、SIP</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网络通信速率 ≥100Mbps</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患者一览表 支持显示每路床头屏、床旁屏的患者信息，并支持接入病员一览表显示。</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双工对讲 支持与床头屏、其他护士站呼叫主机双工对讲；对讲方式支持免提、手柄、TALK键。</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一键呼叫管理 支持一键快速呼叫预设系统内任一台护士站呼叫主机并全双工可视对讲。</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托管 支持将本管理机的床头屏、床旁屏托管给其它的呼叫主机管理。</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不间断呼叫 支持显示多路床头屏、床旁屏的呼叫，并记忆保持；</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不论呼叫主机是在待机还是通话状态下，分机均能正常呼入。</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等待处理 支持设置结束床头屏、床旁屏的主动呼叫后，该路选键一直显示“等待处理”状态，护士需到该病床床头屏处按键取消该状态。</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状态提示 床头屏、床旁屏呼叫、对讲状态支持用红、绿色提示，每路按键可添加备注信息。</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未处理事件提醒 支持按规则生成未处理事件，并显示在呼叫主机上。</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知晓”语音反馈 患者呼叫时已知该呼叫的目的时，点击后病床分机播放语音“护士已知晓，请稍等”。</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语音播报 床头屏、床旁屏呼叫，支持语音播报“XX号房 XX号床呼叫”。</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音量调节 可单独设置白天、夜晚病床智能终端、分机的呼叫音量、通话音量。</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远程操作 支持后台管理系统统一设置。</w:t>
                        </w:r>
                      </w:p>
                    </w:tc>
                    <w:tc>
                      <w:tcPr>
                        <w:tcW w:w="11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京颐科技、联新、来邦科技、连帆科技</w:t>
                        </w: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68"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6860"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 </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模拟呼叫分机</w:t>
                        </w:r>
                      </w:p>
                    </w:tc>
                    <w:tc>
                      <w:tcPr>
                        <w:tcW w:w="4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尺寸 ≥13寸电容触摸屏</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分辨率 ≥1920×1080</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 xml:space="preserve">CPU ≥四核，主频≥1.5GHz </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内存 ≥2G</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存储 ≥4G</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操作系统 Android 4.0以上</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接口 ≥1个IOT、≥1个RJ45网口、≥1个控制接口、≥1个电源接口</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呼叫手柄 挂架手柄（含呼叫键、手柄灯）</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支持协议 支持TCP、UDP、RTP、ARP、IGMP、HTTP、SIP</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网络通信速率 ≥100Mbps</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呼叫/解除 支持可向呼叫主机呼叫与解除呼叫。</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双工对讲 支持与护士站主机手持双工对讲。</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护理定位 护士按下病房分机上的“护理”按键，该病房门口门灯常亮绿色，离开时可再次按下此键解除该功能。</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护理增援 支持按下终端上的“增援”键，可呼唤增派其他医护人员。</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白天与夜晚模式切换 支持手动进行设置，包括音量、亮屏时间、屏幕亮度等的改变。</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广播播放 支持通过网络接收呼叫主机的MP3文件广播或喊话。</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远程操作 支持后台管理系统统一设置。</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应用扩展 支持接入第三方服务。</w:t>
                        </w:r>
                      </w:p>
                    </w:tc>
                    <w:tc>
                      <w:tcPr>
                        <w:tcW w:w="11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京颐科技、联新、来邦科技、连帆科技</w:t>
                        </w: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67.00 </w:t>
                        </w:r>
                      </w:p>
                    </w:tc>
                    <w:tc>
                      <w:tcPr>
                        <w:tcW w:w="668"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440"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3 </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呼叫按钮</w:t>
                        </w:r>
                      </w:p>
                    </w:tc>
                    <w:tc>
                      <w:tcPr>
                        <w:tcW w:w="447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color w:val="auto"/>
                            <w:sz w:val="20"/>
                            <w:szCs w:val="20"/>
                            <w:highlight w:val="none"/>
                          </w:rPr>
                        </w:pPr>
                      </w:p>
                    </w:tc>
                    <w:tc>
                      <w:tcPr>
                        <w:tcW w:w="11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京颐科技、联新、来邦科技、连帆科技</w:t>
                        </w: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68"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440"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4 </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分机电源</w:t>
                        </w:r>
                      </w:p>
                    </w:tc>
                    <w:tc>
                      <w:tcPr>
                        <w:tcW w:w="4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DC12V</w:t>
                        </w:r>
                      </w:p>
                    </w:tc>
                    <w:tc>
                      <w:tcPr>
                        <w:tcW w:w="11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京颐科技、联新、来邦科技、连帆科技</w:t>
                        </w: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套</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2.00 </w:t>
                        </w:r>
                      </w:p>
                    </w:tc>
                    <w:tc>
                      <w:tcPr>
                        <w:tcW w:w="668"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440"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5 </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呼叫走廊显示屏</w:t>
                        </w:r>
                      </w:p>
                    </w:tc>
                    <w:tc>
                      <w:tcPr>
                        <w:tcW w:w="4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双面显示屏</w:t>
                        </w:r>
                      </w:p>
                    </w:tc>
                    <w:tc>
                      <w:tcPr>
                        <w:tcW w:w="11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京颐科技、联新、来邦科技、连帆科技</w:t>
                        </w: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3.00 </w:t>
                        </w:r>
                      </w:p>
                    </w:tc>
                    <w:tc>
                      <w:tcPr>
                        <w:tcW w:w="668"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440"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6 </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住院一览表</w:t>
                        </w:r>
                      </w:p>
                    </w:tc>
                    <w:tc>
                      <w:tcPr>
                        <w:tcW w:w="447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color w:val="auto"/>
                            <w:sz w:val="20"/>
                            <w:szCs w:val="20"/>
                            <w:highlight w:val="none"/>
                          </w:rPr>
                        </w:pPr>
                      </w:p>
                    </w:tc>
                    <w:tc>
                      <w:tcPr>
                        <w:tcW w:w="11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京颐科技、联新、来邦科技、连帆科技</w:t>
                        </w: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68"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200"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7 </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网络</w:t>
                        </w:r>
                      </w:p>
                    </w:tc>
                    <w:tc>
                      <w:tcPr>
                        <w:tcW w:w="4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Cat6-4PrUTP，敷设方式：桥架、配管内</w:t>
                        </w:r>
                      </w:p>
                    </w:tc>
                    <w:tc>
                      <w:tcPr>
                        <w:tcW w:w="11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美国西蒙、康普、泛达、罗格朗</w:t>
                        </w: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m</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122.72 </w:t>
                        </w:r>
                      </w:p>
                    </w:tc>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Arial Narrow" w:hAnsi="Arial Narrow" w:eastAsia="Arial Narrow" w:cs="Arial Narrow"/>
                            <w:color w:val="auto"/>
                            <w:sz w:val="20"/>
                            <w:szCs w:val="20"/>
                            <w:highlight w:val="none"/>
                          </w:rPr>
                        </w:pPr>
                      </w:p>
                    </w:tc>
                  </w:tr>
                  <w:tr>
                    <w:tblPrEx>
                      <w:tblCellMar>
                        <w:top w:w="0" w:type="dxa"/>
                        <w:left w:w="108" w:type="dxa"/>
                        <w:bottom w:w="0" w:type="dxa"/>
                        <w:right w:w="108" w:type="dxa"/>
                      </w:tblCellMar>
                    </w:tblPrEx>
                    <w:trPr>
                      <w:trHeight w:val="720"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8 </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控制线</w:t>
                        </w:r>
                      </w:p>
                    </w:tc>
                    <w:tc>
                      <w:tcPr>
                        <w:tcW w:w="4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RVV-3X1.5，敷设方式：桥架、配管内</w:t>
                        </w:r>
                      </w:p>
                    </w:tc>
                    <w:tc>
                      <w:tcPr>
                        <w:tcW w:w="11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上上、特变、远东</w:t>
                        </w: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m</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304.43 </w:t>
                        </w:r>
                      </w:p>
                    </w:tc>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Arial Narrow" w:hAnsi="Arial Narrow" w:eastAsia="Arial Narrow" w:cs="Arial Narrow"/>
                            <w:color w:val="auto"/>
                            <w:sz w:val="20"/>
                            <w:szCs w:val="20"/>
                            <w:highlight w:val="none"/>
                          </w:rPr>
                        </w:pPr>
                      </w:p>
                    </w:tc>
                  </w:tr>
                  <w:tr>
                    <w:tblPrEx>
                      <w:tblCellMar>
                        <w:top w:w="0" w:type="dxa"/>
                        <w:left w:w="108" w:type="dxa"/>
                        <w:bottom w:w="0" w:type="dxa"/>
                        <w:right w:w="108" w:type="dxa"/>
                      </w:tblCellMar>
                    </w:tblPrEx>
                    <w:trPr>
                      <w:trHeight w:val="720"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9 </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控制线</w:t>
                        </w:r>
                      </w:p>
                    </w:tc>
                    <w:tc>
                      <w:tcPr>
                        <w:tcW w:w="4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RVV-2X1.5，敷设方式：桥架、配管内</w:t>
                        </w:r>
                      </w:p>
                    </w:tc>
                    <w:tc>
                      <w:tcPr>
                        <w:tcW w:w="11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上上、特变、远东</w:t>
                        </w: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m</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734.16 </w:t>
                        </w:r>
                      </w:p>
                    </w:tc>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Arial Narrow" w:hAnsi="Arial Narrow" w:eastAsia="Arial Narrow" w:cs="Arial Narrow"/>
                            <w:color w:val="auto"/>
                            <w:sz w:val="20"/>
                            <w:szCs w:val="20"/>
                            <w:highlight w:val="none"/>
                          </w:rPr>
                        </w:pPr>
                      </w:p>
                    </w:tc>
                  </w:tr>
                  <w:tr>
                    <w:tblPrEx>
                      <w:tblCellMar>
                        <w:top w:w="0" w:type="dxa"/>
                        <w:left w:w="108" w:type="dxa"/>
                        <w:bottom w:w="0" w:type="dxa"/>
                        <w:right w:w="108" w:type="dxa"/>
                      </w:tblCellMar>
                    </w:tblPrEx>
                    <w:trPr>
                      <w:trHeight w:val="960"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 </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线管</w:t>
                        </w:r>
                      </w:p>
                    </w:tc>
                    <w:tc>
                      <w:tcPr>
                        <w:tcW w:w="4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JDG25，配置形式及部位：砖、混凝土结构明暗配；含热浸锌吊支架、接地及防腐等；开槽补槽粉刷等一切相关费用</w:t>
                        </w:r>
                      </w:p>
                    </w:tc>
                    <w:tc>
                      <w:tcPr>
                        <w:tcW w:w="11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m</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65.99 </w:t>
                        </w:r>
                      </w:p>
                    </w:tc>
                    <w:tc>
                      <w:tcPr>
                        <w:tcW w:w="668"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720"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11 </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线管</w:t>
                        </w:r>
                      </w:p>
                    </w:tc>
                    <w:tc>
                      <w:tcPr>
                        <w:tcW w:w="4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JDG20，配置形式及部位：砖、混凝土结构明暗配；含热浸锌吊支架、接地及防腐等；开槽补槽粉刷等一切相关费用</w:t>
                        </w:r>
                      </w:p>
                    </w:tc>
                    <w:tc>
                      <w:tcPr>
                        <w:tcW w:w="11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m</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637.82 </w:t>
                        </w:r>
                      </w:p>
                    </w:tc>
                    <w:tc>
                      <w:tcPr>
                        <w:tcW w:w="668"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270"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12 </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接线盒</w:t>
                        </w:r>
                      </w:p>
                    </w:tc>
                    <w:tc>
                      <w:tcPr>
                        <w:tcW w:w="4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钢制接线盒、过线盒安装</w:t>
                        </w:r>
                      </w:p>
                    </w:tc>
                    <w:tc>
                      <w:tcPr>
                        <w:tcW w:w="11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74.00 </w:t>
                        </w:r>
                      </w:p>
                    </w:tc>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Arial Narrow" w:hAnsi="Arial Narrow" w:eastAsia="Arial Narrow" w:cs="Arial Narrow"/>
                            <w:color w:val="auto"/>
                            <w:sz w:val="20"/>
                            <w:szCs w:val="20"/>
                            <w:highlight w:val="none"/>
                          </w:rPr>
                        </w:pPr>
                      </w:p>
                    </w:tc>
                  </w:tr>
                  <w:tr>
                    <w:tblPrEx>
                      <w:tblCellMar>
                        <w:top w:w="0" w:type="dxa"/>
                        <w:left w:w="108" w:type="dxa"/>
                        <w:bottom w:w="0" w:type="dxa"/>
                        <w:right w:w="108" w:type="dxa"/>
                      </w:tblCellMar>
                    </w:tblPrEx>
                    <w:trPr>
                      <w:trHeight w:val="270"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13 </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呼叫系统调试与检测</w:t>
                        </w:r>
                      </w:p>
                    </w:tc>
                    <w:tc>
                      <w:tcPr>
                        <w:tcW w:w="447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color w:val="auto"/>
                            <w:sz w:val="20"/>
                            <w:szCs w:val="20"/>
                            <w:highlight w:val="none"/>
                          </w:rPr>
                        </w:pPr>
                      </w:p>
                    </w:tc>
                    <w:tc>
                      <w:tcPr>
                        <w:tcW w:w="11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符合验收要求</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项</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4.00 </w:t>
                        </w:r>
                      </w:p>
                    </w:tc>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Arial Narrow" w:hAnsi="Arial Narrow" w:eastAsia="Arial Narrow" w:cs="Arial Narrow"/>
                            <w:color w:val="auto"/>
                            <w:sz w:val="20"/>
                            <w:szCs w:val="20"/>
                            <w:highlight w:val="none"/>
                          </w:rPr>
                        </w:pPr>
                      </w:p>
                    </w:tc>
                  </w:tr>
                  <w:tr>
                    <w:tblPrEx>
                      <w:tblCellMar>
                        <w:top w:w="0" w:type="dxa"/>
                        <w:left w:w="108" w:type="dxa"/>
                        <w:bottom w:w="0" w:type="dxa"/>
                        <w:right w:w="108" w:type="dxa"/>
                      </w:tblCellMar>
                    </w:tblPrEx>
                    <w:trPr>
                      <w:trHeight w:val="270"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b/>
                            <w:bCs/>
                            <w:color w:val="auto"/>
                            <w:sz w:val="20"/>
                            <w:szCs w:val="20"/>
                            <w:highlight w:val="none"/>
                          </w:rPr>
                        </w:pPr>
                        <w:r>
                          <w:rPr>
                            <w:rFonts w:hint="eastAsia" w:ascii="宋体" w:hAnsi="宋体" w:cs="宋体"/>
                            <w:b/>
                            <w:bCs/>
                            <w:color w:val="auto"/>
                            <w:sz w:val="20"/>
                            <w:szCs w:val="20"/>
                            <w:highlight w:val="none"/>
                            <w:lang w:bidi="ar"/>
                          </w:rPr>
                          <w:t>七</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b/>
                            <w:bCs/>
                            <w:color w:val="auto"/>
                            <w:sz w:val="20"/>
                            <w:szCs w:val="20"/>
                            <w:highlight w:val="none"/>
                          </w:rPr>
                        </w:pPr>
                        <w:r>
                          <w:rPr>
                            <w:rFonts w:hint="eastAsia" w:ascii="宋体" w:hAnsi="宋体" w:cs="宋体"/>
                            <w:b/>
                            <w:bCs/>
                            <w:color w:val="auto"/>
                            <w:sz w:val="20"/>
                            <w:szCs w:val="20"/>
                            <w:highlight w:val="none"/>
                            <w:lang w:bidi="ar"/>
                          </w:rPr>
                          <w:t>自控系统</w:t>
                        </w:r>
                      </w:p>
                    </w:tc>
                    <w:tc>
                      <w:tcPr>
                        <w:tcW w:w="447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color w:val="auto"/>
                            <w:sz w:val="20"/>
                            <w:szCs w:val="20"/>
                            <w:highlight w:val="none"/>
                          </w:rPr>
                        </w:pPr>
                      </w:p>
                    </w:tc>
                    <w:tc>
                      <w:tcPr>
                        <w:tcW w:w="115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 w:val="20"/>
                            <w:szCs w:val="20"/>
                            <w:highlight w:val="none"/>
                          </w:rPr>
                        </w:pP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auto"/>
                            <w:sz w:val="20"/>
                            <w:szCs w:val="20"/>
                            <w:highlight w:val="none"/>
                          </w:rPr>
                        </w:pP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auto"/>
                            <w:sz w:val="20"/>
                            <w:szCs w:val="20"/>
                            <w:highlight w:val="none"/>
                          </w:rPr>
                        </w:pPr>
                      </w:p>
                    </w:tc>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Arial Narrow" w:hAnsi="Arial Narrow" w:eastAsia="Arial Narrow" w:cs="Arial Narrow"/>
                            <w:color w:val="auto"/>
                            <w:sz w:val="20"/>
                            <w:szCs w:val="20"/>
                            <w:highlight w:val="none"/>
                          </w:rPr>
                        </w:pPr>
                      </w:p>
                    </w:tc>
                  </w:tr>
                  <w:tr>
                    <w:tblPrEx>
                      <w:tblCellMar>
                        <w:top w:w="0" w:type="dxa"/>
                        <w:left w:w="108" w:type="dxa"/>
                        <w:bottom w:w="0" w:type="dxa"/>
                        <w:right w:w="108" w:type="dxa"/>
                      </w:tblCellMar>
                    </w:tblPrEx>
                    <w:trPr>
                      <w:trHeight w:val="780"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 </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控制线</w:t>
                        </w:r>
                      </w:p>
                    </w:tc>
                    <w:tc>
                      <w:tcPr>
                        <w:tcW w:w="4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RVV2*1.0，敷设方式：桥架、配管内</w:t>
                        </w:r>
                      </w:p>
                    </w:tc>
                    <w:tc>
                      <w:tcPr>
                        <w:tcW w:w="11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上上、特变、远东</w:t>
                        </w: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m</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944.69 </w:t>
                        </w:r>
                      </w:p>
                    </w:tc>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Arial Narrow" w:hAnsi="Arial Narrow" w:eastAsia="Arial Narrow" w:cs="Arial Narrow"/>
                            <w:color w:val="auto"/>
                            <w:sz w:val="20"/>
                            <w:szCs w:val="20"/>
                            <w:highlight w:val="none"/>
                          </w:rPr>
                        </w:pPr>
                      </w:p>
                    </w:tc>
                  </w:tr>
                  <w:tr>
                    <w:tblPrEx>
                      <w:tblCellMar>
                        <w:top w:w="0" w:type="dxa"/>
                        <w:left w:w="108" w:type="dxa"/>
                        <w:bottom w:w="0" w:type="dxa"/>
                        <w:right w:w="108" w:type="dxa"/>
                      </w:tblCellMar>
                    </w:tblPrEx>
                    <w:trPr>
                      <w:trHeight w:val="780"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 </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控制线</w:t>
                        </w:r>
                      </w:p>
                    </w:tc>
                    <w:tc>
                      <w:tcPr>
                        <w:tcW w:w="4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RVVP3*1.0，敷设方式：桥架、配管内</w:t>
                        </w:r>
                      </w:p>
                    </w:tc>
                    <w:tc>
                      <w:tcPr>
                        <w:tcW w:w="11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上上、特变、远东</w:t>
                        </w: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m</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966.06 </w:t>
                        </w:r>
                      </w:p>
                    </w:tc>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Arial Narrow" w:hAnsi="Arial Narrow" w:eastAsia="Arial Narrow" w:cs="Arial Narrow"/>
                            <w:color w:val="auto"/>
                            <w:sz w:val="20"/>
                            <w:szCs w:val="20"/>
                            <w:highlight w:val="none"/>
                          </w:rPr>
                        </w:pPr>
                      </w:p>
                    </w:tc>
                  </w:tr>
                  <w:tr>
                    <w:tblPrEx>
                      <w:tblCellMar>
                        <w:top w:w="0" w:type="dxa"/>
                        <w:left w:w="108" w:type="dxa"/>
                        <w:bottom w:w="0" w:type="dxa"/>
                        <w:right w:w="108" w:type="dxa"/>
                      </w:tblCellMar>
                    </w:tblPrEx>
                    <w:trPr>
                      <w:trHeight w:val="780"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3 </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控制线</w:t>
                        </w:r>
                      </w:p>
                    </w:tc>
                    <w:tc>
                      <w:tcPr>
                        <w:tcW w:w="4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RVVP2*1.0，敷设方式：桥架、配管内</w:t>
                        </w:r>
                      </w:p>
                    </w:tc>
                    <w:tc>
                      <w:tcPr>
                        <w:tcW w:w="11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上上、特变、远东</w:t>
                        </w: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m</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4670.10 </w:t>
                        </w:r>
                      </w:p>
                    </w:tc>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Arial Narrow" w:hAnsi="Arial Narrow" w:eastAsia="Arial Narrow" w:cs="Arial Narrow"/>
                            <w:color w:val="auto"/>
                            <w:sz w:val="20"/>
                            <w:szCs w:val="20"/>
                            <w:highlight w:val="none"/>
                          </w:rPr>
                        </w:pPr>
                      </w:p>
                    </w:tc>
                  </w:tr>
                  <w:tr>
                    <w:tblPrEx>
                      <w:tblCellMar>
                        <w:top w:w="0" w:type="dxa"/>
                        <w:left w:w="108" w:type="dxa"/>
                        <w:bottom w:w="0" w:type="dxa"/>
                        <w:right w:w="108" w:type="dxa"/>
                      </w:tblCellMar>
                    </w:tblPrEx>
                    <w:trPr>
                      <w:trHeight w:val="960"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4 </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线管</w:t>
                        </w:r>
                      </w:p>
                    </w:tc>
                    <w:tc>
                      <w:tcPr>
                        <w:tcW w:w="4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JDG20，配置形式及部位：砖、混凝土结构明暗配；含热浸锌吊支架、接地及防腐等；开槽补槽粉刷等一切相关费用</w:t>
                        </w:r>
                      </w:p>
                    </w:tc>
                    <w:tc>
                      <w:tcPr>
                        <w:tcW w:w="11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m</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3330.66 </w:t>
                        </w:r>
                      </w:p>
                    </w:tc>
                    <w:tc>
                      <w:tcPr>
                        <w:tcW w:w="668"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270"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5 </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接线盒</w:t>
                        </w:r>
                      </w:p>
                    </w:tc>
                    <w:tc>
                      <w:tcPr>
                        <w:tcW w:w="4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钢制接线盒、过线盒安装</w:t>
                        </w:r>
                      </w:p>
                    </w:tc>
                    <w:tc>
                      <w:tcPr>
                        <w:tcW w:w="11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222.24 </w:t>
                        </w:r>
                      </w:p>
                    </w:tc>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Arial Narrow" w:hAnsi="Arial Narrow" w:eastAsia="Arial Narrow" w:cs="Arial Narrow"/>
                            <w:color w:val="auto"/>
                            <w:sz w:val="20"/>
                            <w:szCs w:val="20"/>
                            <w:highlight w:val="none"/>
                          </w:rPr>
                        </w:pPr>
                      </w:p>
                    </w:tc>
                  </w:tr>
                  <w:tr>
                    <w:tblPrEx>
                      <w:tblCellMar>
                        <w:top w:w="0" w:type="dxa"/>
                        <w:left w:w="108" w:type="dxa"/>
                        <w:bottom w:w="0" w:type="dxa"/>
                        <w:right w:w="108" w:type="dxa"/>
                      </w:tblCellMar>
                    </w:tblPrEx>
                    <w:trPr>
                      <w:trHeight w:val="270"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b/>
                            <w:bCs/>
                            <w:color w:val="auto"/>
                            <w:sz w:val="20"/>
                            <w:szCs w:val="20"/>
                            <w:highlight w:val="none"/>
                          </w:rPr>
                        </w:pPr>
                        <w:r>
                          <w:rPr>
                            <w:rFonts w:hint="eastAsia" w:ascii="宋体" w:hAnsi="宋体" w:cs="宋体"/>
                            <w:b/>
                            <w:bCs/>
                            <w:color w:val="auto"/>
                            <w:sz w:val="20"/>
                            <w:szCs w:val="20"/>
                            <w:highlight w:val="none"/>
                            <w:lang w:bidi="ar"/>
                          </w:rPr>
                          <w:t>八</w:t>
                        </w:r>
                      </w:p>
                    </w:tc>
                    <w:tc>
                      <w:tcPr>
                        <w:tcW w:w="542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color w:val="auto"/>
                            <w:sz w:val="20"/>
                            <w:szCs w:val="20"/>
                            <w:highlight w:val="none"/>
                          </w:rPr>
                        </w:pPr>
                        <w:r>
                          <w:rPr>
                            <w:rFonts w:hint="eastAsia" w:ascii="宋体" w:hAnsi="宋体" w:cs="宋体"/>
                            <w:b/>
                            <w:bCs/>
                            <w:color w:val="auto"/>
                            <w:sz w:val="20"/>
                            <w:szCs w:val="20"/>
                            <w:highlight w:val="none"/>
                            <w:lang w:bidi="ar"/>
                          </w:rPr>
                          <w:t>手术室及示教室数字化系统</w:t>
                        </w:r>
                      </w:p>
                    </w:tc>
                    <w:tc>
                      <w:tcPr>
                        <w:tcW w:w="115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 w:val="20"/>
                            <w:szCs w:val="20"/>
                            <w:highlight w:val="none"/>
                          </w:rPr>
                        </w:pP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auto"/>
                            <w:sz w:val="20"/>
                            <w:szCs w:val="20"/>
                            <w:highlight w:val="none"/>
                          </w:rPr>
                        </w:pP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auto"/>
                            <w:sz w:val="20"/>
                            <w:szCs w:val="20"/>
                            <w:highlight w:val="none"/>
                          </w:rPr>
                        </w:pPr>
                      </w:p>
                    </w:tc>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Arial Narrow" w:hAnsi="Arial Narrow" w:eastAsia="Arial Narrow" w:cs="Arial Narrow"/>
                            <w:color w:val="auto"/>
                            <w:sz w:val="20"/>
                            <w:szCs w:val="20"/>
                            <w:highlight w:val="none"/>
                          </w:rPr>
                        </w:pPr>
                      </w:p>
                    </w:tc>
                  </w:tr>
                  <w:tr>
                    <w:tblPrEx>
                      <w:tblCellMar>
                        <w:top w:w="0" w:type="dxa"/>
                        <w:left w:w="108" w:type="dxa"/>
                        <w:bottom w:w="0" w:type="dxa"/>
                        <w:right w:w="108" w:type="dxa"/>
                      </w:tblCellMar>
                    </w:tblPrEx>
                    <w:trPr>
                      <w:trHeight w:val="480"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auto"/>
                            <w:sz w:val="20"/>
                            <w:szCs w:val="20"/>
                            <w:highlight w:val="none"/>
                          </w:rPr>
                        </w:pPr>
                      </w:p>
                    </w:tc>
                    <w:tc>
                      <w:tcPr>
                        <w:tcW w:w="542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color w:val="auto"/>
                            <w:sz w:val="20"/>
                            <w:szCs w:val="20"/>
                            <w:highlight w:val="none"/>
                          </w:rPr>
                        </w:pPr>
                        <w:r>
                          <w:rPr>
                            <w:rFonts w:hint="eastAsia" w:ascii="宋体" w:hAnsi="宋体" w:cs="宋体"/>
                            <w:b/>
                            <w:bCs/>
                            <w:color w:val="auto"/>
                            <w:sz w:val="20"/>
                            <w:szCs w:val="20"/>
                            <w:highlight w:val="none"/>
                            <w:lang w:bidi="ar"/>
                          </w:rPr>
                          <w:t>数字化手术室OP1</w:t>
                        </w:r>
                      </w:p>
                    </w:tc>
                    <w:tc>
                      <w:tcPr>
                        <w:tcW w:w="115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 w:val="20"/>
                            <w:szCs w:val="20"/>
                            <w:highlight w:val="none"/>
                          </w:rPr>
                        </w:pP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auto"/>
                            <w:sz w:val="20"/>
                            <w:szCs w:val="20"/>
                            <w:highlight w:val="none"/>
                          </w:rPr>
                        </w:pP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auto"/>
                            <w:sz w:val="20"/>
                            <w:szCs w:val="20"/>
                            <w:highlight w:val="none"/>
                          </w:rPr>
                        </w:pPr>
                      </w:p>
                    </w:tc>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Arial Narrow" w:hAnsi="Arial Narrow" w:eastAsia="Arial Narrow" w:cs="Arial Narrow"/>
                            <w:color w:val="auto"/>
                            <w:sz w:val="20"/>
                            <w:szCs w:val="20"/>
                            <w:highlight w:val="none"/>
                          </w:rPr>
                        </w:pPr>
                      </w:p>
                    </w:tc>
                  </w:tr>
                  <w:tr>
                    <w:tblPrEx>
                      <w:tblCellMar>
                        <w:top w:w="0" w:type="dxa"/>
                        <w:left w:w="108" w:type="dxa"/>
                        <w:bottom w:w="0" w:type="dxa"/>
                        <w:right w:w="108" w:type="dxa"/>
                      </w:tblCellMar>
                    </w:tblPrEx>
                    <w:trPr>
                      <w:trHeight w:val="1701"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 </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核心平台</w:t>
                        </w:r>
                      </w:p>
                    </w:tc>
                    <w:tc>
                      <w:tcPr>
                        <w:tcW w:w="4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PC机、智慧手术室系统软件等</w:t>
                        </w:r>
                      </w:p>
                    </w:tc>
                    <w:tc>
                      <w:tcPr>
                        <w:tcW w:w="11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cs="宋体"/>
                            <w:color w:val="auto"/>
                            <w:sz w:val="20"/>
                            <w:szCs w:val="20"/>
                            <w:highlight w:val="none"/>
                          </w:rPr>
                        </w:pPr>
                        <w:r>
                          <w:rPr>
                            <w:rFonts w:hint="eastAsia" w:ascii="宋体" w:hAnsi="宋体" w:eastAsia="宋体" w:cs="宋体"/>
                            <w:i w:val="0"/>
                            <w:iCs w:val="0"/>
                            <w:color w:val="000000"/>
                            <w:kern w:val="0"/>
                            <w:sz w:val="20"/>
                            <w:szCs w:val="20"/>
                            <w:u w:val="none"/>
                            <w:lang w:val="en-US" w:eastAsia="zh-CN" w:bidi="ar"/>
                          </w:rPr>
                          <w:t>STORZ卡尔史托斯、MAQUET迈柯唯、Stryker史赛克</w:t>
                        </w: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套</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w:t>
                        </w:r>
                      </w:p>
                    </w:tc>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Arial Narrow" w:hAnsi="Arial Narrow" w:eastAsia="Arial Narrow" w:cs="Arial Narrow"/>
                            <w:color w:val="auto"/>
                            <w:sz w:val="20"/>
                            <w:szCs w:val="20"/>
                            <w:highlight w:val="none"/>
                          </w:rPr>
                        </w:pPr>
                      </w:p>
                    </w:tc>
                  </w:tr>
                  <w:tr>
                    <w:tblPrEx>
                      <w:tblCellMar>
                        <w:top w:w="0" w:type="dxa"/>
                        <w:left w:w="108" w:type="dxa"/>
                        <w:bottom w:w="0" w:type="dxa"/>
                        <w:right w:w="108" w:type="dxa"/>
                      </w:tblCellMar>
                    </w:tblPrEx>
                    <w:trPr>
                      <w:trHeight w:val="1701"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 </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无线麦克风模块</w:t>
                        </w:r>
                      </w:p>
                    </w:tc>
                    <w:tc>
                      <w:tcPr>
                        <w:tcW w:w="4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由设备厂家提供</w:t>
                        </w:r>
                      </w:p>
                    </w:tc>
                    <w:tc>
                      <w:tcPr>
                        <w:tcW w:w="11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cs="宋体"/>
                            <w:color w:val="auto"/>
                            <w:sz w:val="20"/>
                            <w:szCs w:val="20"/>
                            <w:highlight w:val="none"/>
                          </w:rPr>
                        </w:pPr>
                        <w:r>
                          <w:rPr>
                            <w:rFonts w:hint="eastAsia" w:ascii="宋体" w:hAnsi="宋体" w:eastAsia="宋体" w:cs="宋体"/>
                            <w:i w:val="0"/>
                            <w:iCs w:val="0"/>
                            <w:color w:val="000000"/>
                            <w:kern w:val="0"/>
                            <w:sz w:val="20"/>
                            <w:szCs w:val="20"/>
                            <w:u w:val="none"/>
                            <w:lang w:val="en-US" w:eastAsia="zh-CN" w:bidi="ar"/>
                          </w:rPr>
                          <w:t>STORZ卡尔史托斯、MAQUET迈柯唯、Stryker史赛克</w:t>
                        </w: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w:t>
                        </w:r>
                      </w:p>
                    </w:tc>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Arial Narrow" w:hAnsi="Arial Narrow" w:eastAsia="Arial Narrow" w:cs="Arial Narrow"/>
                            <w:color w:val="auto"/>
                            <w:sz w:val="20"/>
                            <w:szCs w:val="20"/>
                            <w:highlight w:val="none"/>
                          </w:rPr>
                        </w:pPr>
                      </w:p>
                    </w:tc>
                  </w:tr>
                  <w:tr>
                    <w:tblPrEx>
                      <w:tblCellMar>
                        <w:top w:w="0" w:type="dxa"/>
                        <w:left w:w="108" w:type="dxa"/>
                        <w:bottom w:w="0" w:type="dxa"/>
                        <w:right w:w="108" w:type="dxa"/>
                      </w:tblCellMar>
                    </w:tblPrEx>
                    <w:trPr>
                      <w:trHeight w:val="850"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3 </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吸顶音箱模块</w:t>
                        </w:r>
                      </w:p>
                    </w:tc>
                    <w:tc>
                      <w:tcPr>
                        <w:tcW w:w="4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由设备厂家提供</w:t>
                        </w:r>
                      </w:p>
                    </w:tc>
                    <w:tc>
                      <w:tcPr>
                        <w:tcW w:w="11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cs="宋体"/>
                            <w:color w:val="auto"/>
                            <w:sz w:val="20"/>
                            <w:szCs w:val="20"/>
                            <w:highlight w:val="none"/>
                          </w:rPr>
                        </w:pPr>
                        <w:r>
                          <w:rPr>
                            <w:rFonts w:hint="eastAsia" w:ascii="宋体" w:hAnsi="宋体" w:eastAsia="宋体" w:cs="宋体"/>
                            <w:i w:val="0"/>
                            <w:iCs w:val="0"/>
                            <w:color w:val="000000"/>
                            <w:kern w:val="0"/>
                            <w:sz w:val="20"/>
                            <w:szCs w:val="20"/>
                            <w:u w:val="none"/>
                            <w:lang w:val="en-US" w:eastAsia="zh-CN" w:bidi="ar"/>
                          </w:rPr>
                          <w:t>BOSE、EDIFIER、PHILIP</w:t>
                        </w: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w:t>
                        </w:r>
                      </w:p>
                    </w:tc>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Arial Narrow" w:hAnsi="Arial Narrow" w:eastAsia="Arial Narrow" w:cs="Arial Narrow"/>
                            <w:color w:val="auto"/>
                            <w:sz w:val="20"/>
                            <w:szCs w:val="20"/>
                            <w:highlight w:val="none"/>
                          </w:rPr>
                        </w:pPr>
                      </w:p>
                    </w:tc>
                  </w:tr>
                  <w:tr>
                    <w:tblPrEx>
                      <w:tblCellMar>
                        <w:top w:w="0" w:type="dxa"/>
                        <w:left w:w="108" w:type="dxa"/>
                        <w:bottom w:w="0" w:type="dxa"/>
                        <w:right w:w="108" w:type="dxa"/>
                      </w:tblCellMar>
                    </w:tblPrEx>
                    <w:trPr>
                      <w:trHeight w:val="850"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4 </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全景摄像机模块</w:t>
                        </w:r>
                      </w:p>
                    </w:tc>
                    <w:tc>
                      <w:tcPr>
                        <w:tcW w:w="4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由设备厂家提供</w:t>
                        </w:r>
                      </w:p>
                    </w:tc>
                    <w:tc>
                      <w:tcPr>
                        <w:tcW w:w="11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cs="宋体"/>
                            <w:color w:val="auto"/>
                            <w:sz w:val="20"/>
                            <w:szCs w:val="20"/>
                            <w:highlight w:val="none"/>
                          </w:rPr>
                        </w:pPr>
                        <w:r>
                          <w:rPr>
                            <w:rFonts w:hint="eastAsia" w:ascii="宋体" w:hAnsi="宋体" w:eastAsia="宋体" w:cs="宋体"/>
                            <w:i w:val="0"/>
                            <w:iCs w:val="0"/>
                            <w:color w:val="000000"/>
                            <w:kern w:val="0"/>
                            <w:sz w:val="20"/>
                            <w:szCs w:val="20"/>
                            <w:u w:val="none"/>
                            <w:lang w:val="en-US" w:eastAsia="zh-CN" w:bidi="ar"/>
                          </w:rPr>
                          <w:t>Hikvision、DJI、DRIFT</w:t>
                        </w: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w:t>
                        </w:r>
                      </w:p>
                    </w:tc>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Arial Narrow" w:hAnsi="Arial Narrow" w:eastAsia="Arial Narrow" w:cs="Arial Narrow"/>
                            <w:color w:val="auto"/>
                            <w:sz w:val="20"/>
                            <w:szCs w:val="20"/>
                            <w:highlight w:val="none"/>
                          </w:rPr>
                        </w:pPr>
                      </w:p>
                    </w:tc>
                  </w:tr>
                  <w:tr>
                    <w:tblPrEx>
                      <w:tblCellMar>
                        <w:top w:w="0" w:type="dxa"/>
                        <w:left w:w="108" w:type="dxa"/>
                        <w:bottom w:w="0" w:type="dxa"/>
                        <w:right w:w="108" w:type="dxa"/>
                      </w:tblCellMar>
                    </w:tblPrEx>
                    <w:trPr>
                      <w:trHeight w:val="1780"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5 </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双触摸屏护士工作站模块</w:t>
                        </w:r>
                      </w:p>
                    </w:tc>
                    <w:tc>
                      <w:tcPr>
                        <w:tcW w:w="4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由设备厂家提供</w:t>
                        </w:r>
                      </w:p>
                    </w:tc>
                    <w:tc>
                      <w:tcPr>
                        <w:tcW w:w="11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cs="宋体"/>
                            <w:color w:val="auto"/>
                            <w:sz w:val="20"/>
                            <w:szCs w:val="20"/>
                            <w:highlight w:val="none"/>
                          </w:rPr>
                        </w:pPr>
                        <w:r>
                          <w:rPr>
                            <w:rFonts w:hint="eastAsia" w:ascii="宋体" w:hAnsi="宋体" w:eastAsia="宋体" w:cs="宋体"/>
                            <w:i w:val="0"/>
                            <w:iCs w:val="0"/>
                            <w:color w:val="000000"/>
                            <w:kern w:val="0"/>
                            <w:sz w:val="20"/>
                            <w:szCs w:val="20"/>
                            <w:u w:val="none"/>
                            <w:lang w:val="en-US" w:eastAsia="zh-CN" w:bidi="ar"/>
                          </w:rPr>
                          <w:t>STORZ卡尔史托斯、MAQUET迈柯唯、Stryker史赛克</w:t>
                        </w: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w:t>
                        </w:r>
                      </w:p>
                    </w:tc>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Arial Narrow" w:hAnsi="Arial Narrow" w:eastAsia="Arial Narrow" w:cs="Arial Narrow"/>
                            <w:color w:val="auto"/>
                            <w:sz w:val="20"/>
                            <w:szCs w:val="20"/>
                            <w:highlight w:val="none"/>
                          </w:rPr>
                        </w:pPr>
                      </w:p>
                    </w:tc>
                  </w:tr>
                  <w:tr>
                    <w:tblPrEx>
                      <w:tblCellMar>
                        <w:top w:w="0" w:type="dxa"/>
                        <w:left w:w="108" w:type="dxa"/>
                        <w:bottom w:w="0" w:type="dxa"/>
                        <w:right w:w="108" w:type="dxa"/>
                      </w:tblCellMar>
                    </w:tblPrEx>
                    <w:trPr>
                      <w:trHeight w:val="1480"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6 </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护士工作站配套医用键盘</w:t>
                        </w:r>
                      </w:p>
                    </w:tc>
                    <w:tc>
                      <w:tcPr>
                        <w:tcW w:w="4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由设备厂家提供</w:t>
                        </w:r>
                      </w:p>
                    </w:tc>
                    <w:tc>
                      <w:tcPr>
                        <w:tcW w:w="11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cs="宋体"/>
                            <w:color w:val="auto"/>
                            <w:sz w:val="20"/>
                            <w:szCs w:val="20"/>
                            <w:highlight w:val="none"/>
                          </w:rPr>
                        </w:pPr>
                        <w:r>
                          <w:rPr>
                            <w:rFonts w:hint="eastAsia" w:ascii="宋体" w:hAnsi="宋体" w:eastAsia="宋体" w:cs="宋体"/>
                            <w:i w:val="0"/>
                            <w:iCs w:val="0"/>
                            <w:color w:val="000000"/>
                            <w:kern w:val="0"/>
                            <w:sz w:val="20"/>
                            <w:szCs w:val="20"/>
                            <w:u w:val="none"/>
                            <w:lang w:val="en-US" w:eastAsia="zh-CN" w:bidi="ar"/>
                          </w:rPr>
                          <w:t>STORZ卡尔史托斯、MAQUET迈柯唯、Stryker史赛克</w:t>
                        </w: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w:t>
                        </w:r>
                      </w:p>
                    </w:tc>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Arial Narrow" w:hAnsi="Arial Narrow" w:eastAsia="Arial Narrow" w:cs="Arial Narrow"/>
                            <w:color w:val="auto"/>
                            <w:sz w:val="20"/>
                            <w:szCs w:val="20"/>
                            <w:highlight w:val="none"/>
                          </w:rPr>
                        </w:pPr>
                      </w:p>
                    </w:tc>
                  </w:tr>
                  <w:tr>
                    <w:tblPrEx>
                      <w:tblCellMar>
                        <w:top w:w="0" w:type="dxa"/>
                        <w:left w:w="108" w:type="dxa"/>
                        <w:bottom w:w="0" w:type="dxa"/>
                        <w:right w:w="108" w:type="dxa"/>
                      </w:tblCellMar>
                    </w:tblPrEx>
                    <w:trPr>
                      <w:trHeight w:val="1480"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7 </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高清腔镜显示器模块</w:t>
                        </w:r>
                      </w:p>
                    </w:tc>
                    <w:tc>
                      <w:tcPr>
                        <w:tcW w:w="4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由设备厂家提供</w:t>
                        </w:r>
                      </w:p>
                    </w:tc>
                    <w:tc>
                      <w:tcPr>
                        <w:tcW w:w="11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cs="宋体"/>
                            <w:color w:val="auto"/>
                            <w:sz w:val="20"/>
                            <w:szCs w:val="20"/>
                            <w:highlight w:val="none"/>
                          </w:rPr>
                        </w:pPr>
                        <w:r>
                          <w:rPr>
                            <w:rFonts w:hint="eastAsia" w:ascii="宋体" w:hAnsi="宋体" w:eastAsia="宋体" w:cs="宋体"/>
                            <w:i w:val="0"/>
                            <w:iCs w:val="0"/>
                            <w:color w:val="000000"/>
                            <w:kern w:val="0"/>
                            <w:sz w:val="20"/>
                            <w:szCs w:val="20"/>
                            <w:u w:val="none"/>
                            <w:lang w:val="en-US" w:eastAsia="zh-CN" w:bidi="ar"/>
                          </w:rPr>
                          <w:t>STORZ卡尔史托斯、MAQUET迈柯唯、Stryker史赛克</w:t>
                        </w: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w:t>
                        </w:r>
                      </w:p>
                    </w:tc>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Arial Narrow" w:hAnsi="Arial Narrow" w:eastAsia="Arial Narrow" w:cs="Arial Narrow"/>
                            <w:color w:val="auto"/>
                            <w:sz w:val="20"/>
                            <w:szCs w:val="20"/>
                            <w:highlight w:val="none"/>
                          </w:rPr>
                        </w:pPr>
                      </w:p>
                    </w:tc>
                  </w:tr>
                  <w:tr>
                    <w:tblPrEx>
                      <w:tblCellMar>
                        <w:top w:w="0" w:type="dxa"/>
                        <w:left w:w="108" w:type="dxa"/>
                        <w:bottom w:w="0" w:type="dxa"/>
                        <w:right w:w="108" w:type="dxa"/>
                      </w:tblCellMar>
                    </w:tblPrEx>
                    <w:trPr>
                      <w:trHeight w:val="1060"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8 </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4K商用显示器模块-55'</w:t>
                        </w:r>
                      </w:p>
                    </w:tc>
                    <w:tc>
                      <w:tcPr>
                        <w:tcW w:w="4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由设备厂家提供</w:t>
                        </w:r>
                      </w:p>
                    </w:tc>
                    <w:tc>
                      <w:tcPr>
                        <w:tcW w:w="11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cs="宋体"/>
                            <w:color w:val="auto"/>
                            <w:sz w:val="20"/>
                            <w:szCs w:val="20"/>
                            <w:highlight w:val="none"/>
                          </w:rPr>
                        </w:pPr>
                        <w:r>
                          <w:rPr>
                            <w:rFonts w:hint="eastAsia" w:ascii="宋体" w:hAnsi="宋体" w:eastAsia="宋体" w:cs="宋体"/>
                            <w:i w:val="0"/>
                            <w:iCs w:val="0"/>
                            <w:color w:val="000000"/>
                            <w:kern w:val="0"/>
                            <w:sz w:val="20"/>
                            <w:szCs w:val="20"/>
                            <w:u w:val="none"/>
                            <w:lang w:val="en-US" w:eastAsia="zh-CN" w:bidi="ar"/>
                          </w:rPr>
                          <w:t>LG、三星、索尼</w:t>
                        </w: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w:t>
                        </w:r>
                      </w:p>
                    </w:tc>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Arial Narrow" w:hAnsi="Arial Narrow" w:eastAsia="Arial Narrow" w:cs="Arial Narrow"/>
                            <w:color w:val="auto"/>
                            <w:sz w:val="20"/>
                            <w:szCs w:val="20"/>
                            <w:highlight w:val="none"/>
                          </w:rPr>
                        </w:pPr>
                      </w:p>
                    </w:tc>
                  </w:tr>
                  <w:tr>
                    <w:tblPrEx>
                      <w:tblCellMar>
                        <w:top w:w="0" w:type="dxa"/>
                        <w:left w:w="108" w:type="dxa"/>
                        <w:bottom w:w="0" w:type="dxa"/>
                        <w:right w:w="108" w:type="dxa"/>
                      </w:tblCellMar>
                    </w:tblPrEx>
                    <w:trPr>
                      <w:trHeight w:val="1830"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9 </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集控中心安装辅料（1间手术室）</w:t>
                        </w:r>
                      </w:p>
                    </w:tc>
                    <w:tc>
                      <w:tcPr>
                        <w:tcW w:w="4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由设备厂家提供</w:t>
                        </w:r>
                      </w:p>
                    </w:tc>
                    <w:tc>
                      <w:tcPr>
                        <w:tcW w:w="11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cs="宋体"/>
                            <w:color w:val="auto"/>
                            <w:sz w:val="20"/>
                            <w:szCs w:val="20"/>
                            <w:highlight w:val="none"/>
                          </w:rPr>
                        </w:pPr>
                        <w:r>
                          <w:rPr>
                            <w:rFonts w:hint="eastAsia" w:ascii="宋体" w:hAnsi="宋体" w:eastAsia="宋体" w:cs="宋体"/>
                            <w:i w:val="0"/>
                            <w:iCs w:val="0"/>
                            <w:color w:val="000000"/>
                            <w:kern w:val="0"/>
                            <w:sz w:val="20"/>
                            <w:szCs w:val="20"/>
                            <w:u w:val="none"/>
                            <w:lang w:val="en-US" w:eastAsia="zh-CN" w:bidi="ar"/>
                          </w:rPr>
                          <w:t>STORZ卡尔史托斯、MAQUET迈柯唯、Stryker史赛克</w:t>
                        </w: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w:t>
                        </w:r>
                      </w:p>
                    </w:tc>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Arial Narrow" w:hAnsi="Arial Narrow" w:eastAsia="Arial Narrow" w:cs="Arial Narrow"/>
                            <w:color w:val="auto"/>
                            <w:sz w:val="20"/>
                            <w:szCs w:val="20"/>
                            <w:highlight w:val="none"/>
                          </w:rPr>
                        </w:pPr>
                      </w:p>
                    </w:tc>
                  </w:tr>
                  <w:tr>
                    <w:tblPrEx>
                      <w:tblCellMar>
                        <w:top w:w="0" w:type="dxa"/>
                        <w:left w:w="108" w:type="dxa"/>
                        <w:bottom w:w="0" w:type="dxa"/>
                        <w:right w:w="108" w:type="dxa"/>
                      </w:tblCellMar>
                    </w:tblPrEx>
                    <w:trPr>
                      <w:trHeight w:val="1220"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 </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环境氛围模块</w:t>
                        </w:r>
                      </w:p>
                    </w:tc>
                    <w:tc>
                      <w:tcPr>
                        <w:tcW w:w="4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由设备厂家提供</w:t>
                        </w:r>
                      </w:p>
                    </w:tc>
                    <w:tc>
                      <w:tcPr>
                        <w:tcW w:w="11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cs="宋体"/>
                            <w:color w:val="auto"/>
                            <w:sz w:val="20"/>
                            <w:szCs w:val="20"/>
                            <w:highlight w:val="none"/>
                          </w:rPr>
                        </w:pPr>
                        <w:r>
                          <w:rPr>
                            <w:rFonts w:hint="eastAsia" w:ascii="宋体" w:hAnsi="宋体" w:eastAsia="宋体" w:cs="宋体"/>
                            <w:i w:val="0"/>
                            <w:iCs w:val="0"/>
                            <w:color w:val="000000"/>
                            <w:kern w:val="0"/>
                            <w:sz w:val="20"/>
                            <w:szCs w:val="20"/>
                            <w:u w:val="none"/>
                            <w:lang w:val="en-US" w:eastAsia="zh-CN" w:bidi="ar"/>
                          </w:rPr>
                          <w:t>台夏光电、三雄极光、德力西</w:t>
                        </w: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w:t>
                        </w:r>
                      </w:p>
                    </w:tc>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Arial Narrow" w:hAnsi="Arial Narrow" w:eastAsia="Arial Narrow" w:cs="Arial Narrow"/>
                            <w:color w:val="auto"/>
                            <w:sz w:val="20"/>
                            <w:szCs w:val="20"/>
                            <w:highlight w:val="none"/>
                          </w:rPr>
                        </w:pPr>
                      </w:p>
                    </w:tc>
                  </w:tr>
                  <w:tr>
                    <w:tblPrEx>
                      <w:tblCellMar>
                        <w:top w:w="0" w:type="dxa"/>
                        <w:left w:w="108" w:type="dxa"/>
                        <w:bottom w:w="0" w:type="dxa"/>
                        <w:right w:w="108" w:type="dxa"/>
                      </w:tblCellMar>
                    </w:tblPrEx>
                    <w:trPr>
                      <w:trHeight w:val="900"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11 </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无影灯</w:t>
                        </w:r>
                      </w:p>
                    </w:tc>
                    <w:tc>
                      <w:tcPr>
                        <w:tcW w:w="4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由设备厂家提供</w:t>
                        </w:r>
                      </w:p>
                    </w:tc>
                    <w:tc>
                      <w:tcPr>
                        <w:tcW w:w="11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cs="宋体"/>
                            <w:color w:val="auto"/>
                            <w:sz w:val="20"/>
                            <w:szCs w:val="20"/>
                            <w:highlight w:val="none"/>
                          </w:rPr>
                        </w:pPr>
                        <w:r>
                          <w:rPr>
                            <w:rFonts w:hint="eastAsia" w:ascii="宋体" w:hAnsi="宋体" w:eastAsia="宋体" w:cs="宋体"/>
                            <w:i w:val="0"/>
                            <w:iCs w:val="0"/>
                            <w:color w:val="000000"/>
                            <w:kern w:val="0"/>
                            <w:sz w:val="20"/>
                            <w:szCs w:val="20"/>
                            <w:u w:val="none"/>
                            <w:lang w:val="en-US" w:eastAsia="zh-CN" w:bidi="ar"/>
                          </w:rPr>
                          <w:t>MAQUET、马丁、德尔格</w:t>
                        </w: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w:t>
                        </w:r>
                      </w:p>
                    </w:tc>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Arial Narrow" w:hAnsi="Arial Narrow" w:eastAsia="Arial Narrow" w:cs="Arial Narrow"/>
                            <w:color w:val="auto"/>
                            <w:sz w:val="20"/>
                            <w:szCs w:val="20"/>
                            <w:highlight w:val="none"/>
                          </w:rPr>
                        </w:pPr>
                      </w:p>
                    </w:tc>
                  </w:tr>
                  <w:tr>
                    <w:tblPrEx>
                      <w:tblCellMar>
                        <w:top w:w="0" w:type="dxa"/>
                        <w:left w:w="108" w:type="dxa"/>
                        <w:bottom w:w="0" w:type="dxa"/>
                        <w:right w:w="108" w:type="dxa"/>
                      </w:tblCellMar>
                    </w:tblPrEx>
                    <w:trPr>
                      <w:trHeight w:val="270"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auto"/>
                            <w:sz w:val="20"/>
                            <w:szCs w:val="20"/>
                            <w:highlight w:val="none"/>
                          </w:rPr>
                        </w:pP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b/>
                            <w:bCs/>
                            <w:color w:val="auto"/>
                            <w:sz w:val="20"/>
                            <w:szCs w:val="20"/>
                            <w:highlight w:val="none"/>
                          </w:rPr>
                        </w:pPr>
                        <w:r>
                          <w:rPr>
                            <w:rFonts w:hint="eastAsia" w:ascii="宋体" w:hAnsi="宋体" w:cs="宋体"/>
                            <w:b/>
                            <w:bCs/>
                            <w:color w:val="auto"/>
                            <w:sz w:val="20"/>
                            <w:szCs w:val="20"/>
                            <w:highlight w:val="none"/>
                            <w:lang w:bidi="ar"/>
                          </w:rPr>
                          <w:t>示教室</w:t>
                        </w:r>
                      </w:p>
                    </w:tc>
                    <w:tc>
                      <w:tcPr>
                        <w:tcW w:w="447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color w:val="auto"/>
                            <w:sz w:val="20"/>
                            <w:szCs w:val="20"/>
                            <w:highlight w:val="none"/>
                          </w:rPr>
                        </w:pPr>
                      </w:p>
                    </w:tc>
                    <w:tc>
                      <w:tcPr>
                        <w:tcW w:w="115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 w:val="20"/>
                            <w:szCs w:val="20"/>
                            <w:highlight w:val="none"/>
                          </w:rPr>
                        </w:pP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auto"/>
                            <w:sz w:val="20"/>
                            <w:szCs w:val="20"/>
                            <w:highlight w:val="none"/>
                          </w:rPr>
                        </w:pP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Arial Narrow" w:hAnsi="Arial Narrow" w:eastAsia="Arial Narrow" w:cs="Arial Narrow"/>
                            <w:color w:val="auto"/>
                            <w:sz w:val="20"/>
                            <w:szCs w:val="20"/>
                            <w:highlight w:val="none"/>
                          </w:rPr>
                        </w:pPr>
                      </w:p>
                    </w:tc>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Arial Narrow" w:hAnsi="Arial Narrow" w:eastAsia="Arial Narrow" w:cs="Arial Narrow"/>
                            <w:color w:val="auto"/>
                            <w:sz w:val="20"/>
                            <w:szCs w:val="20"/>
                            <w:highlight w:val="none"/>
                          </w:rPr>
                        </w:pPr>
                      </w:p>
                    </w:tc>
                  </w:tr>
                  <w:tr>
                    <w:tblPrEx>
                      <w:tblCellMar>
                        <w:top w:w="0" w:type="dxa"/>
                        <w:left w:w="108" w:type="dxa"/>
                        <w:bottom w:w="0" w:type="dxa"/>
                        <w:right w:w="108" w:type="dxa"/>
                      </w:tblCellMar>
                    </w:tblPrEx>
                    <w:trPr>
                      <w:trHeight w:val="1875"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 </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内嵌式机柜模块</w:t>
                        </w:r>
                      </w:p>
                    </w:tc>
                    <w:tc>
                      <w:tcPr>
                        <w:tcW w:w="4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手术示教终端、远程接口等</w:t>
                        </w:r>
                      </w:p>
                    </w:tc>
                    <w:tc>
                      <w:tcPr>
                        <w:tcW w:w="11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cs="宋体"/>
                            <w:color w:val="auto"/>
                            <w:sz w:val="20"/>
                            <w:szCs w:val="20"/>
                            <w:highlight w:val="none"/>
                          </w:rPr>
                        </w:pPr>
                        <w:r>
                          <w:rPr>
                            <w:rFonts w:hint="eastAsia" w:ascii="宋体" w:hAnsi="宋体" w:eastAsia="宋体" w:cs="宋体"/>
                            <w:i w:val="0"/>
                            <w:iCs w:val="0"/>
                            <w:color w:val="000000"/>
                            <w:kern w:val="0"/>
                            <w:sz w:val="20"/>
                            <w:szCs w:val="20"/>
                            <w:u w:val="none"/>
                            <w:lang w:val="en-US" w:eastAsia="zh-CN" w:bidi="ar"/>
                          </w:rPr>
                          <w:t>STORZ卡尔史托斯、MAQUET迈柯唯、Stryker史赛克</w:t>
                        </w: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w:t>
                        </w:r>
                      </w:p>
                    </w:tc>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Arial Narrow" w:hAnsi="Arial Narrow" w:eastAsia="Arial Narrow" w:cs="Arial Narrow"/>
                            <w:color w:val="auto"/>
                            <w:sz w:val="20"/>
                            <w:szCs w:val="20"/>
                            <w:highlight w:val="none"/>
                          </w:rPr>
                        </w:pPr>
                      </w:p>
                    </w:tc>
                  </w:tr>
                  <w:tr>
                    <w:tblPrEx>
                      <w:tblCellMar>
                        <w:top w:w="0" w:type="dxa"/>
                        <w:left w:w="108" w:type="dxa"/>
                        <w:bottom w:w="0" w:type="dxa"/>
                        <w:right w:w="108" w:type="dxa"/>
                      </w:tblCellMar>
                    </w:tblPrEx>
                    <w:trPr>
                      <w:trHeight w:val="1853"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 </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光纤转播-影音双向模块</w:t>
                        </w:r>
                      </w:p>
                    </w:tc>
                    <w:tc>
                      <w:tcPr>
                        <w:tcW w:w="4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由设备厂家提供</w:t>
                        </w:r>
                      </w:p>
                    </w:tc>
                    <w:tc>
                      <w:tcPr>
                        <w:tcW w:w="11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cs="宋体"/>
                            <w:color w:val="auto"/>
                            <w:sz w:val="20"/>
                            <w:szCs w:val="20"/>
                            <w:highlight w:val="none"/>
                          </w:rPr>
                        </w:pPr>
                        <w:r>
                          <w:rPr>
                            <w:rFonts w:hint="eastAsia" w:ascii="宋体" w:hAnsi="宋体" w:eastAsia="宋体" w:cs="宋体"/>
                            <w:i w:val="0"/>
                            <w:iCs w:val="0"/>
                            <w:color w:val="000000"/>
                            <w:kern w:val="0"/>
                            <w:sz w:val="20"/>
                            <w:szCs w:val="20"/>
                            <w:u w:val="none"/>
                            <w:lang w:val="en-US" w:eastAsia="zh-CN" w:bidi="ar"/>
                          </w:rPr>
                          <w:t>STORZ卡尔史托斯、MAQUET迈柯唯、Stryker史赛克</w:t>
                        </w: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w:t>
                        </w:r>
                      </w:p>
                    </w:tc>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Arial Narrow" w:hAnsi="Arial Narrow" w:eastAsia="Arial Narrow" w:cs="Arial Narrow"/>
                            <w:color w:val="auto"/>
                            <w:sz w:val="20"/>
                            <w:szCs w:val="20"/>
                            <w:highlight w:val="none"/>
                          </w:rPr>
                        </w:pPr>
                      </w:p>
                    </w:tc>
                  </w:tr>
                  <w:tr>
                    <w:tblPrEx>
                      <w:tblCellMar>
                        <w:top w:w="0" w:type="dxa"/>
                        <w:left w:w="108" w:type="dxa"/>
                        <w:bottom w:w="0" w:type="dxa"/>
                        <w:right w:w="108" w:type="dxa"/>
                      </w:tblCellMar>
                    </w:tblPrEx>
                    <w:trPr>
                      <w:trHeight w:val="1972"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3 </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全景摄像机模块</w:t>
                        </w:r>
                      </w:p>
                    </w:tc>
                    <w:tc>
                      <w:tcPr>
                        <w:tcW w:w="4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由设备厂家提供</w:t>
                        </w:r>
                      </w:p>
                    </w:tc>
                    <w:tc>
                      <w:tcPr>
                        <w:tcW w:w="11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cs="宋体"/>
                            <w:color w:val="auto"/>
                            <w:sz w:val="20"/>
                            <w:szCs w:val="20"/>
                            <w:highlight w:val="none"/>
                          </w:rPr>
                        </w:pPr>
                        <w:r>
                          <w:rPr>
                            <w:rFonts w:hint="eastAsia" w:ascii="宋体" w:hAnsi="宋体" w:eastAsia="宋体" w:cs="宋体"/>
                            <w:i w:val="0"/>
                            <w:iCs w:val="0"/>
                            <w:color w:val="000000"/>
                            <w:kern w:val="0"/>
                            <w:sz w:val="20"/>
                            <w:szCs w:val="20"/>
                            <w:u w:val="none"/>
                            <w:lang w:val="en-US" w:eastAsia="zh-CN" w:bidi="ar"/>
                          </w:rPr>
                          <w:t>STORZ卡尔史托斯、MAQUET迈柯唯、Stryker史赛克</w:t>
                        </w: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w:t>
                        </w:r>
                      </w:p>
                    </w:tc>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Arial Narrow" w:hAnsi="Arial Narrow" w:eastAsia="Arial Narrow" w:cs="Arial Narrow"/>
                            <w:color w:val="auto"/>
                            <w:sz w:val="20"/>
                            <w:szCs w:val="20"/>
                            <w:highlight w:val="none"/>
                          </w:rPr>
                        </w:pPr>
                      </w:p>
                    </w:tc>
                  </w:tr>
                  <w:tr>
                    <w:tblPrEx>
                      <w:tblCellMar>
                        <w:top w:w="0" w:type="dxa"/>
                        <w:left w:w="108" w:type="dxa"/>
                        <w:bottom w:w="0" w:type="dxa"/>
                        <w:right w:w="108" w:type="dxa"/>
                      </w:tblCellMar>
                    </w:tblPrEx>
                    <w:trPr>
                      <w:trHeight w:val="1077"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4 </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4K显示器模块-65'</w:t>
                        </w:r>
                      </w:p>
                    </w:tc>
                    <w:tc>
                      <w:tcPr>
                        <w:tcW w:w="4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由设备厂家提供</w:t>
                        </w:r>
                      </w:p>
                    </w:tc>
                    <w:tc>
                      <w:tcPr>
                        <w:tcW w:w="11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cs="宋体"/>
                            <w:color w:val="auto"/>
                            <w:sz w:val="20"/>
                            <w:szCs w:val="20"/>
                            <w:highlight w:val="none"/>
                          </w:rPr>
                        </w:pPr>
                        <w:r>
                          <w:rPr>
                            <w:rFonts w:hint="eastAsia" w:ascii="宋体" w:hAnsi="宋体" w:eastAsia="宋体" w:cs="宋体"/>
                            <w:i w:val="0"/>
                            <w:iCs w:val="0"/>
                            <w:color w:val="000000"/>
                            <w:kern w:val="0"/>
                            <w:sz w:val="20"/>
                            <w:szCs w:val="20"/>
                            <w:u w:val="none"/>
                            <w:lang w:val="en-US" w:eastAsia="zh-CN" w:bidi="ar"/>
                          </w:rPr>
                          <w:t>Philips、索尼、东芝</w:t>
                        </w: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w:t>
                        </w:r>
                      </w:p>
                    </w:tc>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Arial Narrow" w:hAnsi="Arial Narrow" w:eastAsia="Arial Narrow" w:cs="Arial Narrow"/>
                            <w:color w:val="auto"/>
                            <w:sz w:val="20"/>
                            <w:szCs w:val="20"/>
                            <w:highlight w:val="none"/>
                          </w:rPr>
                        </w:pPr>
                      </w:p>
                    </w:tc>
                  </w:tr>
                  <w:tr>
                    <w:tblPrEx>
                      <w:tblCellMar>
                        <w:top w:w="0" w:type="dxa"/>
                        <w:left w:w="108" w:type="dxa"/>
                        <w:bottom w:w="0" w:type="dxa"/>
                        <w:right w:w="108" w:type="dxa"/>
                      </w:tblCellMar>
                    </w:tblPrEx>
                    <w:trPr>
                      <w:trHeight w:val="1800"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5 </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音频处理模块（含无线麦克风）</w:t>
                        </w:r>
                      </w:p>
                    </w:tc>
                    <w:tc>
                      <w:tcPr>
                        <w:tcW w:w="4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由设备厂家提供</w:t>
                        </w:r>
                      </w:p>
                    </w:tc>
                    <w:tc>
                      <w:tcPr>
                        <w:tcW w:w="11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cs="宋体"/>
                            <w:color w:val="auto"/>
                            <w:sz w:val="20"/>
                            <w:szCs w:val="20"/>
                            <w:highlight w:val="none"/>
                          </w:rPr>
                        </w:pPr>
                        <w:r>
                          <w:rPr>
                            <w:rFonts w:hint="eastAsia" w:ascii="宋体" w:hAnsi="宋体" w:eastAsia="宋体" w:cs="宋体"/>
                            <w:i w:val="0"/>
                            <w:iCs w:val="0"/>
                            <w:color w:val="000000"/>
                            <w:kern w:val="0"/>
                            <w:sz w:val="20"/>
                            <w:szCs w:val="20"/>
                            <w:u w:val="none"/>
                            <w:lang w:val="en-US" w:eastAsia="zh-CN" w:bidi="ar"/>
                          </w:rPr>
                          <w:t>STORZ卡尔史托斯、MAQUET迈柯唯、Stryker史赛克</w:t>
                        </w: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w:t>
                        </w:r>
                      </w:p>
                    </w:tc>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Arial Narrow" w:hAnsi="Arial Narrow" w:eastAsia="Arial Narrow" w:cs="Arial Narrow"/>
                            <w:color w:val="auto"/>
                            <w:sz w:val="20"/>
                            <w:szCs w:val="20"/>
                            <w:highlight w:val="none"/>
                          </w:rPr>
                        </w:pPr>
                      </w:p>
                    </w:tc>
                  </w:tr>
                  <w:tr>
                    <w:tblPrEx>
                      <w:tblCellMar>
                        <w:top w:w="0" w:type="dxa"/>
                        <w:left w:w="108" w:type="dxa"/>
                        <w:bottom w:w="0" w:type="dxa"/>
                        <w:right w:w="108" w:type="dxa"/>
                      </w:tblCellMar>
                    </w:tblPrEx>
                    <w:trPr>
                      <w:trHeight w:val="928"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6 </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壁挂式音箱</w:t>
                        </w:r>
                      </w:p>
                    </w:tc>
                    <w:tc>
                      <w:tcPr>
                        <w:tcW w:w="4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含术野摄像机万向臂(双臂)</w:t>
                        </w:r>
                      </w:p>
                    </w:tc>
                    <w:tc>
                      <w:tcPr>
                        <w:tcW w:w="11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cs="宋体"/>
                            <w:color w:val="auto"/>
                            <w:sz w:val="20"/>
                            <w:szCs w:val="20"/>
                            <w:highlight w:val="none"/>
                          </w:rPr>
                        </w:pPr>
                        <w:r>
                          <w:rPr>
                            <w:rFonts w:hint="eastAsia" w:ascii="宋体" w:hAnsi="宋体" w:eastAsia="宋体" w:cs="宋体"/>
                            <w:i w:val="0"/>
                            <w:iCs w:val="0"/>
                            <w:color w:val="000000"/>
                            <w:kern w:val="0"/>
                            <w:sz w:val="20"/>
                            <w:szCs w:val="20"/>
                            <w:u w:val="none"/>
                            <w:lang w:val="en-US" w:eastAsia="zh-CN" w:bidi="ar"/>
                          </w:rPr>
                          <w:t>BOSE、EDIFIER、PHILIP</w:t>
                        </w: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w:t>
                        </w:r>
                      </w:p>
                    </w:tc>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Arial Narrow" w:hAnsi="Arial Narrow" w:eastAsia="Arial Narrow" w:cs="Arial Narrow"/>
                            <w:color w:val="auto"/>
                            <w:sz w:val="20"/>
                            <w:szCs w:val="20"/>
                            <w:highlight w:val="none"/>
                          </w:rPr>
                        </w:pPr>
                      </w:p>
                    </w:tc>
                  </w:tr>
                  <w:tr>
                    <w:tblPrEx>
                      <w:tblCellMar>
                        <w:top w:w="0" w:type="dxa"/>
                        <w:left w:w="108" w:type="dxa"/>
                        <w:bottom w:w="0" w:type="dxa"/>
                        <w:right w:w="108" w:type="dxa"/>
                      </w:tblCellMar>
                    </w:tblPrEx>
                    <w:trPr>
                      <w:trHeight w:val="663"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7 </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壁挂机柜模块</w:t>
                        </w:r>
                      </w:p>
                    </w:tc>
                    <w:tc>
                      <w:tcPr>
                        <w:tcW w:w="4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会议示教系统机柜、远程接口等</w:t>
                        </w:r>
                      </w:p>
                    </w:tc>
                    <w:tc>
                      <w:tcPr>
                        <w:tcW w:w="11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cs="宋体"/>
                            <w:color w:val="auto"/>
                            <w:sz w:val="20"/>
                            <w:szCs w:val="20"/>
                            <w:highlight w:val="none"/>
                          </w:rPr>
                        </w:pPr>
                        <w:r>
                          <w:rPr>
                            <w:rFonts w:hint="eastAsia" w:ascii="宋体" w:hAnsi="宋体" w:eastAsia="宋体" w:cs="宋体"/>
                            <w:i w:val="0"/>
                            <w:iCs w:val="0"/>
                            <w:color w:val="000000"/>
                            <w:kern w:val="0"/>
                            <w:sz w:val="20"/>
                            <w:szCs w:val="20"/>
                            <w:u w:val="none"/>
                            <w:lang w:val="en-US" w:eastAsia="zh-CN" w:bidi="ar"/>
                          </w:rPr>
                          <w:t>Toten、戴尔、APC</w:t>
                        </w: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w:t>
                        </w:r>
                      </w:p>
                    </w:tc>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Arial Narrow" w:hAnsi="Arial Narrow" w:eastAsia="Arial Narrow" w:cs="Arial Narrow"/>
                            <w:color w:val="auto"/>
                            <w:sz w:val="20"/>
                            <w:szCs w:val="20"/>
                            <w:highlight w:val="none"/>
                          </w:rPr>
                        </w:pPr>
                      </w:p>
                    </w:tc>
                  </w:tr>
                  <w:tr>
                    <w:tblPrEx>
                      <w:tblCellMar>
                        <w:top w:w="0" w:type="dxa"/>
                        <w:left w:w="108" w:type="dxa"/>
                        <w:bottom w:w="0" w:type="dxa"/>
                        <w:right w:w="108" w:type="dxa"/>
                      </w:tblCellMar>
                    </w:tblPrEx>
                    <w:trPr>
                      <w:trHeight w:val="1827"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8 </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光纤转播-影音双向模块</w:t>
                        </w:r>
                      </w:p>
                    </w:tc>
                    <w:tc>
                      <w:tcPr>
                        <w:tcW w:w="4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由设备厂家提供</w:t>
                        </w:r>
                      </w:p>
                    </w:tc>
                    <w:tc>
                      <w:tcPr>
                        <w:tcW w:w="11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cs="宋体"/>
                            <w:color w:val="auto"/>
                            <w:sz w:val="20"/>
                            <w:szCs w:val="20"/>
                            <w:highlight w:val="none"/>
                          </w:rPr>
                        </w:pPr>
                        <w:r>
                          <w:rPr>
                            <w:rFonts w:hint="eastAsia" w:ascii="宋体" w:hAnsi="宋体" w:eastAsia="宋体" w:cs="宋体"/>
                            <w:i w:val="0"/>
                            <w:iCs w:val="0"/>
                            <w:color w:val="000000"/>
                            <w:kern w:val="0"/>
                            <w:sz w:val="20"/>
                            <w:szCs w:val="20"/>
                            <w:u w:val="none"/>
                            <w:lang w:val="en-US" w:eastAsia="zh-CN" w:bidi="ar"/>
                          </w:rPr>
                          <w:t>STORZ卡尔史托斯、MAQUET迈柯唯、Stryker史赛克</w:t>
                        </w: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w:t>
                        </w:r>
                      </w:p>
                    </w:tc>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Arial Narrow" w:hAnsi="Arial Narrow" w:eastAsia="Arial Narrow" w:cs="Arial Narrow"/>
                            <w:color w:val="auto"/>
                            <w:sz w:val="20"/>
                            <w:szCs w:val="20"/>
                            <w:highlight w:val="none"/>
                          </w:rPr>
                        </w:pPr>
                      </w:p>
                    </w:tc>
                  </w:tr>
                  <w:tr>
                    <w:tblPrEx>
                      <w:tblCellMar>
                        <w:top w:w="0" w:type="dxa"/>
                        <w:left w:w="108" w:type="dxa"/>
                        <w:bottom w:w="0" w:type="dxa"/>
                        <w:right w:w="108" w:type="dxa"/>
                      </w:tblCellMar>
                    </w:tblPrEx>
                    <w:trPr>
                      <w:trHeight w:val="1701"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9 </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高清投影仪</w:t>
                        </w:r>
                      </w:p>
                    </w:tc>
                    <w:tc>
                      <w:tcPr>
                        <w:tcW w:w="4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由设备厂家提供</w:t>
                        </w:r>
                      </w:p>
                    </w:tc>
                    <w:tc>
                      <w:tcPr>
                        <w:tcW w:w="11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cs="宋体"/>
                            <w:color w:val="auto"/>
                            <w:sz w:val="20"/>
                            <w:szCs w:val="20"/>
                            <w:highlight w:val="none"/>
                          </w:rPr>
                        </w:pPr>
                        <w:r>
                          <w:rPr>
                            <w:rFonts w:hint="eastAsia" w:ascii="宋体" w:hAnsi="宋体" w:eastAsia="宋体" w:cs="宋体"/>
                            <w:i w:val="0"/>
                            <w:iCs w:val="0"/>
                            <w:color w:val="000000"/>
                            <w:kern w:val="0"/>
                            <w:sz w:val="20"/>
                            <w:szCs w:val="20"/>
                            <w:u w:val="none"/>
                            <w:lang w:val="en-US" w:eastAsia="zh-CN" w:bidi="ar"/>
                          </w:rPr>
                          <w:t>STORZ卡尔史托斯、MAQUET迈柯唯、Stryker史赛克</w:t>
                        </w: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w:t>
                        </w:r>
                      </w:p>
                    </w:tc>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Arial Narrow" w:hAnsi="Arial Narrow" w:eastAsia="Arial Narrow" w:cs="Arial Narrow"/>
                            <w:color w:val="auto"/>
                            <w:sz w:val="20"/>
                            <w:szCs w:val="20"/>
                            <w:highlight w:val="none"/>
                          </w:rPr>
                        </w:pPr>
                      </w:p>
                    </w:tc>
                  </w:tr>
                  <w:tr>
                    <w:tblPrEx>
                      <w:tblCellMar>
                        <w:top w:w="0" w:type="dxa"/>
                        <w:left w:w="108" w:type="dxa"/>
                        <w:bottom w:w="0" w:type="dxa"/>
                        <w:right w:w="108" w:type="dxa"/>
                      </w:tblCellMar>
                    </w:tblPrEx>
                    <w:trPr>
                      <w:trHeight w:val="1701"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 </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150寸投影幕布</w:t>
                        </w:r>
                      </w:p>
                    </w:tc>
                    <w:tc>
                      <w:tcPr>
                        <w:tcW w:w="4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由设备厂家提供</w:t>
                        </w:r>
                      </w:p>
                    </w:tc>
                    <w:tc>
                      <w:tcPr>
                        <w:tcW w:w="11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cs="宋体"/>
                            <w:color w:val="auto"/>
                            <w:sz w:val="20"/>
                            <w:szCs w:val="20"/>
                            <w:highlight w:val="none"/>
                          </w:rPr>
                        </w:pPr>
                        <w:r>
                          <w:rPr>
                            <w:rFonts w:hint="eastAsia" w:ascii="宋体" w:hAnsi="宋体" w:eastAsia="宋体" w:cs="宋体"/>
                            <w:i w:val="0"/>
                            <w:iCs w:val="0"/>
                            <w:color w:val="000000"/>
                            <w:kern w:val="0"/>
                            <w:sz w:val="20"/>
                            <w:szCs w:val="20"/>
                            <w:u w:val="none"/>
                            <w:lang w:val="en-US" w:eastAsia="zh-CN" w:bidi="ar"/>
                          </w:rPr>
                          <w:t>STORZ卡尔史托斯、MAQUET迈柯唯、Stryker史赛克</w:t>
                        </w: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w:t>
                        </w:r>
                      </w:p>
                    </w:tc>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Arial Narrow" w:hAnsi="Arial Narrow" w:eastAsia="Arial Narrow" w:cs="Arial Narrow"/>
                            <w:color w:val="auto"/>
                            <w:sz w:val="20"/>
                            <w:szCs w:val="20"/>
                            <w:highlight w:val="none"/>
                          </w:rPr>
                        </w:pPr>
                      </w:p>
                    </w:tc>
                  </w:tr>
                  <w:tr>
                    <w:tblPrEx>
                      <w:tblCellMar>
                        <w:top w:w="0" w:type="dxa"/>
                        <w:left w:w="108" w:type="dxa"/>
                        <w:bottom w:w="0" w:type="dxa"/>
                        <w:right w:w="108" w:type="dxa"/>
                      </w:tblCellMar>
                    </w:tblPrEx>
                    <w:trPr>
                      <w:trHeight w:val="270"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b/>
                            <w:bCs/>
                            <w:color w:val="auto"/>
                            <w:sz w:val="20"/>
                            <w:szCs w:val="20"/>
                            <w:highlight w:val="none"/>
                          </w:rPr>
                        </w:pP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b/>
                            <w:bCs/>
                            <w:color w:val="auto"/>
                            <w:sz w:val="20"/>
                            <w:szCs w:val="20"/>
                            <w:highlight w:val="none"/>
                          </w:rPr>
                        </w:pPr>
                        <w:r>
                          <w:rPr>
                            <w:rFonts w:hint="eastAsia" w:ascii="宋体" w:hAnsi="宋体" w:cs="宋体"/>
                            <w:b/>
                            <w:bCs/>
                            <w:color w:val="auto"/>
                            <w:sz w:val="20"/>
                            <w:szCs w:val="20"/>
                            <w:highlight w:val="none"/>
                            <w:lang w:bidi="ar"/>
                          </w:rPr>
                          <w:t>管线</w:t>
                        </w:r>
                      </w:p>
                    </w:tc>
                    <w:tc>
                      <w:tcPr>
                        <w:tcW w:w="447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color w:val="auto"/>
                            <w:sz w:val="20"/>
                            <w:szCs w:val="20"/>
                            <w:highlight w:val="none"/>
                          </w:rPr>
                        </w:pPr>
                      </w:p>
                    </w:tc>
                    <w:tc>
                      <w:tcPr>
                        <w:tcW w:w="115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 w:val="20"/>
                            <w:szCs w:val="20"/>
                            <w:highlight w:val="none"/>
                          </w:rPr>
                        </w:pP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auto"/>
                            <w:sz w:val="20"/>
                            <w:szCs w:val="20"/>
                            <w:highlight w:val="none"/>
                          </w:rPr>
                        </w:pP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auto"/>
                            <w:sz w:val="20"/>
                            <w:szCs w:val="20"/>
                            <w:highlight w:val="none"/>
                          </w:rPr>
                        </w:pPr>
                      </w:p>
                    </w:tc>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Arial Narrow" w:hAnsi="Arial Narrow" w:eastAsia="Arial Narrow" w:cs="Arial Narrow"/>
                            <w:color w:val="auto"/>
                            <w:sz w:val="20"/>
                            <w:szCs w:val="20"/>
                            <w:highlight w:val="none"/>
                          </w:rPr>
                        </w:pPr>
                      </w:p>
                    </w:tc>
                  </w:tr>
                  <w:tr>
                    <w:tblPrEx>
                      <w:tblCellMar>
                        <w:top w:w="0" w:type="dxa"/>
                        <w:left w:w="108" w:type="dxa"/>
                        <w:bottom w:w="0" w:type="dxa"/>
                        <w:right w:w="108" w:type="dxa"/>
                      </w:tblCellMar>
                    </w:tblPrEx>
                    <w:trPr>
                      <w:trHeight w:val="1340"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 </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控制线</w:t>
                        </w:r>
                      </w:p>
                    </w:tc>
                    <w:tc>
                      <w:tcPr>
                        <w:tcW w:w="4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Cat6-4PrUTP，敷设方式：桥架、配管内</w:t>
                        </w:r>
                      </w:p>
                    </w:tc>
                    <w:tc>
                      <w:tcPr>
                        <w:tcW w:w="11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cs="宋体"/>
                            <w:color w:val="auto"/>
                            <w:sz w:val="20"/>
                            <w:szCs w:val="20"/>
                            <w:highlight w:val="none"/>
                          </w:rPr>
                        </w:pPr>
                        <w:r>
                          <w:rPr>
                            <w:rFonts w:hint="eastAsia" w:ascii="宋体" w:hAnsi="宋体" w:eastAsia="宋体" w:cs="宋体"/>
                            <w:i w:val="0"/>
                            <w:iCs w:val="0"/>
                            <w:color w:val="000000"/>
                            <w:kern w:val="0"/>
                            <w:sz w:val="20"/>
                            <w:szCs w:val="20"/>
                            <w:u w:val="none"/>
                            <w:lang w:val="en-US" w:eastAsia="zh-CN" w:bidi="ar"/>
                          </w:rPr>
                          <w:t>美国西蒙、康普、泛达、罗格朗</w:t>
                        </w: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m</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79.14 </w:t>
                        </w:r>
                      </w:p>
                    </w:tc>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Arial Narrow" w:hAnsi="Arial Narrow" w:eastAsia="Arial Narrow" w:cs="Arial Narrow"/>
                            <w:color w:val="auto"/>
                            <w:sz w:val="20"/>
                            <w:szCs w:val="20"/>
                            <w:highlight w:val="none"/>
                          </w:rPr>
                        </w:pPr>
                      </w:p>
                    </w:tc>
                  </w:tr>
                  <w:tr>
                    <w:tblPrEx>
                      <w:tblCellMar>
                        <w:top w:w="0" w:type="dxa"/>
                        <w:left w:w="108" w:type="dxa"/>
                        <w:bottom w:w="0" w:type="dxa"/>
                        <w:right w:w="108" w:type="dxa"/>
                      </w:tblCellMar>
                    </w:tblPrEx>
                    <w:trPr>
                      <w:trHeight w:val="1340"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 </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控制线</w:t>
                        </w:r>
                      </w:p>
                    </w:tc>
                    <w:tc>
                      <w:tcPr>
                        <w:tcW w:w="4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SDI-75-5</w:t>
                        </w:r>
                      </w:p>
                    </w:tc>
                    <w:tc>
                      <w:tcPr>
                        <w:tcW w:w="11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cs="宋体"/>
                            <w:color w:val="auto"/>
                            <w:sz w:val="20"/>
                            <w:szCs w:val="20"/>
                            <w:highlight w:val="none"/>
                          </w:rPr>
                        </w:pPr>
                        <w:r>
                          <w:rPr>
                            <w:rFonts w:hint="eastAsia" w:ascii="宋体" w:hAnsi="宋体" w:eastAsia="宋体" w:cs="宋体"/>
                            <w:i w:val="0"/>
                            <w:iCs w:val="0"/>
                            <w:color w:val="000000"/>
                            <w:kern w:val="0"/>
                            <w:sz w:val="20"/>
                            <w:szCs w:val="20"/>
                            <w:u w:val="none"/>
                            <w:lang w:val="en-US" w:eastAsia="zh-CN" w:bidi="ar"/>
                          </w:rPr>
                          <w:t>美国西蒙、康普、泛达、罗格朗</w:t>
                        </w: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m</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45.56 </w:t>
                        </w:r>
                      </w:p>
                    </w:tc>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Arial Narrow" w:hAnsi="Arial Narrow" w:eastAsia="Arial Narrow" w:cs="Arial Narrow"/>
                            <w:color w:val="auto"/>
                            <w:sz w:val="20"/>
                            <w:szCs w:val="20"/>
                            <w:highlight w:val="none"/>
                          </w:rPr>
                        </w:pPr>
                      </w:p>
                    </w:tc>
                  </w:tr>
                  <w:tr>
                    <w:tblPrEx>
                      <w:tblCellMar>
                        <w:top w:w="0" w:type="dxa"/>
                        <w:left w:w="108" w:type="dxa"/>
                        <w:bottom w:w="0" w:type="dxa"/>
                        <w:right w:w="108" w:type="dxa"/>
                      </w:tblCellMar>
                    </w:tblPrEx>
                    <w:trPr>
                      <w:trHeight w:val="843"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3 </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控制线</w:t>
                        </w:r>
                      </w:p>
                    </w:tc>
                    <w:tc>
                      <w:tcPr>
                        <w:tcW w:w="4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RVS-2*1.5，敷设方式：桥架、配管内</w:t>
                        </w:r>
                      </w:p>
                    </w:tc>
                    <w:tc>
                      <w:tcPr>
                        <w:tcW w:w="11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cs="宋体"/>
                            <w:color w:val="auto"/>
                            <w:sz w:val="20"/>
                            <w:szCs w:val="20"/>
                            <w:highlight w:val="none"/>
                          </w:rPr>
                        </w:pPr>
                        <w:r>
                          <w:rPr>
                            <w:rFonts w:hint="eastAsia" w:ascii="宋体" w:hAnsi="宋体" w:eastAsia="宋体" w:cs="宋体"/>
                            <w:i w:val="0"/>
                            <w:iCs w:val="0"/>
                            <w:color w:val="000000"/>
                            <w:kern w:val="0"/>
                            <w:sz w:val="20"/>
                            <w:szCs w:val="20"/>
                            <w:u w:val="none"/>
                            <w:lang w:val="en-US" w:eastAsia="zh-CN" w:bidi="ar"/>
                          </w:rPr>
                          <w:t>上上、特变、远东</w:t>
                        </w: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m</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23.86 </w:t>
                        </w:r>
                      </w:p>
                    </w:tc>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Arial Narrow" w:hAnsi="Arial Narrow" w:eastAsia="Arial Narrow" w:cs="Arial Narrow"/>
                            <w:color w:val="auto"/>
                            <w:sz w:val="20"/>
                            <w:szCs w:val="20"/>
                            <w:highlight w:val="none"/>
                          </w:rPr>
                        </w:pPr>
                      </w:p>
                    </w:tc>
                  </w:tr>
                  <w:tr>
                    <w:tblPrEx>
                      <w:tblCellMar>
                        <w:top w:w="0" w:type="dxa"/>
                        <w:left w:w="108" w:type="dxa"/>
                        <w:bottom w:w="0" w:type="dxa"/>
                        <w:right w:w="108" w:type="dxa"/>
                      </w:tblCellMar>
                    </w:tblPrEx>
                    <w:trPr>
                      <w:trHeight w:val="960"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4 </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线管</w:t>
                        </w:r>
                      </w:p>
                    </w:tc>
                    <w:tc>
                      <w:tcPr>
                        <w:tcW w:w="4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JDG25，配置形式及部位：砖、混凝土结构明暗配；含热浸锌吊支架、接地及防腐等；开槽补槽粉刷等一切相关费用</w:t>
                        </w:r>
                      </w:p>
                    </w:tc>
                    <w:tc>
                      <w:tcPr>
                        <w:tcW w:w="11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ascii="宋体" w:hAnsi="宋体" w:cs="宋体"/>
                            <w:color w:val="auto"/>
                            <w:sz w:val="20"/>
                            <w:szCs w:val="20"/>
                            <w:highlight w:val="none"/>
                          </w:rPr>
                        </w:pPr>
                        <w:r>
                          <w:rPr>
                            <w:rFonts w:hint="eastAsia" w:ascii="宋体" w:hAnsi="宋体" w:eastAsia="宋体" w:cs="宋体"/>
                            <w:i w:val="0"/>
                            <w:iCs w:val="0"/>
                            <w:color w:val="000000"/>
                            <w:kern w:val="0"/>
                            <w:sz w:val="20"/>
                            <w:szCs w:val="20"/>
                            <w:u w:val="none"/>
                            <w:lang w:val="en-US" w:eastAsia="zh-CN" w:bidi="ar"/>
                          </w:rPr>
                          <w:t>/</w:t>
                        </w: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m</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25.46 </w:t>
                        </w:r>
                      </w:p>
                    </w:tc>
                    <w:tc>
                      <w:tcPr>
                        <w:tcW w:w="668"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040"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5 </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线管</w:t>
                        </w:r>
                      </w:p>
                    </w:tc>
                    <w:tc>
                      <w:tcPr>
                        <w:tcW w:w="4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JDG25，配置形式及部位：砖、混凝土结构明暗配；含热浸锌吊支架、接地及防腐等；开槽补槽粉刷等一切相关费用</w:t>
                        </w:r>
                      </w:p>
                    </w:tc>
                    <w:tc>
                      <w:tcPr>
                        <w:tcW w:w="11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ascii="宋体" w:hAnsi="宋体" w:cs="宋体"/>
                            <w:color w:val="auto"/>
                            <w:sz w:val="20"/>
                            <w:szCs w:val="20"/>
                            <w:highlight w:val="none"/>
                          </w:rPr>
                        </w:pPr>
                        <w:r>
                          <w:rPr>
                            <w:rFonts w:hint="eastAsia" w:ascii="宋体" w:hAnsi="宋体" w:eastAsia="宋体" w:cs="宋体"/>
                            <w:i w:val="0"/>
                            <w:iCs w:val="0"/>
                            <w:color w:val="000000"/>
                            <w:kern w:val="0"/>
                            <w:sz w:val="20"/>
                            <w:szCs w:val="20"/>
                            <w:u w:val="none"/>
                            <w:lang w:val="en-US" w:eastAsia="zh-CN" w:bidi="ar"/>
                          </w:rPr>
                          <w:t>/</w:t>
                        </w: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m</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68.57 </w:t>
                        </w:r>
                      </w:p>
                    </w:tc>
                    <w:tc>
                      <w:tcPr>
                        <w:tcW w:w="668"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270"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6 </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接线盒</w:t>
                        </w:r>
                      </w:p>
                    </w:tc>
                    <w:tc>
                      <w:tcPr>
                        <w:tcW w:w="4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钢制接线盒、过线盒安装</w:t>
                        </w:r>
                      </w:p>
                    </w:tc>
                    <w:tc>
                      <w:tcPr>
                        <w:tcW w:w="11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ascii="宋体" w:hAnsi="宋体" w:cs="宋体"/>
                            <w:color w:val="auto"/>
                            <w:sz w:val="20"/>
                            <w:szCs w:val="20"/>
                            <w:highlight w:val="none"/>
                          </w:rPr>
                        </w:pPr>
                        <w:r>
                          <w:rPr>
                            <w:rFonts w:hint="eastAsia" w:ascii="宋体" w:hAnsi="宋体" w:eastAsia="宋体" w:cs="宋体"/>
                            <w:i w:val="0"/>
                            <w:iCs w:val="0"/>
                            <w:color w:val="000000"/>
                            <w:kern w:val="0"/>
                            <w:sz w:val="20"/>
                            <w:szCs w:val="20"/>
                            <w:u w:val="none"/>
                            <w:lang w:val="en-US" w:eastAsia="zh-CN" w:bidi="ar"/>
                          </w:rPr>
                          <w:t>/</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23.00 </w:t>
                        </w:r>
                      </w:p>
                    </w:tc>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Arial Narrow" w:hAnsi="Arial Narrow" w:eastAsia="Arial Narrow" w:cs="Arial Narrow"/>
                            <w:color w:val="auto"/>
                            <w:sz w:val="20"/>
                            <w:szCs w:val="20"/>
                            <w:highlight w:val="none"/>
                          </w:rPr>
                        </w:pPr>
                      </w:p>
                    </w:tc>
                  </w:tr>
                  <w:tr>
                    <w:tblPrEx>
                      <w:tblCellMar>
                        <w:top w:w="0" w:type="dxa"/>
                        <w:left w:w="108" w:type="dxa"/>
                        <w:bottom w:w="0" w:type="dxa"/>
                        <w:right w:w="108" w:type="dxa"/>
                      </w:tblCellMar>
                    </w:tblPrEx>
                    <w:trPr>
                      <w:trHeight w:val="433"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b/>
                            <w:bCs/>
                            <w:color w:val="auto"/>
                            <w:sz w:val="20"/>
                            <w:szCs w:val="20"/>
                            <w:highlight w:val="none"/>
                          </w:rPr>
                        </w:pPr>
                        <w:r>
                          <w:rPr>
                            <w:rFonts w:hint="eastAsia" w:ascii="宋体" w:hAnsi="宋体" w:cs="宋体"/>
                            <w:b/>
                            <w:bCs/>
                            <w:color w:val="auto"/>
                            <w:sz w:val="20"/>
                            <w:szCs w:val="20"/>
                            <w:highlight w:val="none"/>
                            <w:lang w:bidi="ar"/>
                          </w:rPr>
                          <w:t>九</w:t>
                        </w:r>
                      </w:p>
                    </w:tc>
                    <w:tc>
                      <w:tcPr>
                        <w:tcW w:w="542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color w:val="auto"/>
                            <w:sz w:val="20"/>
                            <w:szCs w:val="20"/>
                            <w:highlight w:val="none"/>
                          </w:rPr>
                        </w:pPr>
                        <w:r>
                          <w:rPr>
                            <w:rFonts w:hint="eastAsia" w:ascii="宋体" w:hAnsi="宋体" w:cs="宋体"/>
                            <w:b/>
                            <w:bCs/>
                            <w:color w:val="auto"/>
                            <w:sz w:val="20"/>
                            <w:szCs w:val="20"/>
                            <w:highlight w:val="none"/>
                            <w:lang w:bidi="ar"/>
                          </w:rPr>
                          <w:t>智能空气质量检测系统</w:t>
                        </w:r>
                      </w:p>
                    </w:tc>
                    <w:tc>
                      <w:tcPr>
                        <w:tcW w:w="115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 w:val="20"/>
                            <w:szCs w:val="20"/>
                            <w:highlight w:val="none"/>
                          </w:rPr>
                        </w:pP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auto"/>
                            <w:sz w:val="20"/>
                            <w:szCs w:val="20"/>
                            <w:highlight w:val="none"/>
                          </w:rPr>
                        </w:pP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auto"/>
                            <w:sz w:val="20"/>
                            <w:szCs w:val="20"/>
                            <w:highlight w:val="none"/>
                          </w:rPr>
                        </w:pPr>
                      </w:p>
                    </w:tc>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Arial Narrow" w:hAnsi="Arial Narrow" w:eastAsia="Arial Narrow" w:cs="Arial Narrow"/>
                            <w:color w:val="auto"/>
                            <w:sz w:val="20"/>
                            <w:szCs w:val="20"/>
                            <w:highlight w:val="none"/>
                          </w:rPr>
                        </w:pPr>
                      </w:p>
                    </w:tc>
                  </w:tr>
                  <w:tr>
                    <w:tblPrEx>
                      <w:tblCellMar>
                        <w:top w:w="0" w:type="dxa"/>
                        <w:left w:w="108" w:type="dxa"/>
                        <w:bottom w:w="0" w:type="dxa"/>
                        <w:right w:w="108" w:type="dxa"/>
                      </w:tblCellMar>
                    </w:tblPrEx>
                    <w:trPr>
                      <w:trHeight w:val="567"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 </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智能空气质量监测控制中枢</w:t>
                        </w:r>
                      </w:p>
                    </w:tc>
                    <w:tc>
                      <w:tcPr>
                        <w:tcW w:w="4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由设备厂家提供</w:t>
                        </w:r>
                      </w:p>
                    </w:tc>
                    <w:tc>
                      <w:tcPr>
                        <w:tcW w:w="11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特锐德、思之泉、菲兰</w:t>
                        </w: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Arial Narrow" w:hAnsi="Arial Narrow" w:eastAsia="Arial Narrow" w:cs="Arial Narrow"/>
                            <w:color w:val="auto"/>
                            <w:sz w:val="20"/>
                            <w:szCs w:val="20"/>
                            <w:highlight w:val="none"/>
                          </w:rPr>
                        </w:pPr>
                      </w:p>
                    </w:tc>
                  </w:tr>
                  <w:tr>
                    <w:tblPrEx>
                      <w:tblCellMar>
                        <w:top w:w="0" w:type="dxa"/>
                        <w:left w:w="108" w:type="dxa"/>
                        <w:bottom w:w="0" w:type="dxa"/>
                        <w:right w:w="108" w:type="dxa"/>
                      </w:tblCellMar>
                    </w:tblPrEx>
                    <w:trPr>
                      <w:trHeight w:val="567"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 </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离子空气处理主机</w:t>
                        </w:r>
                      </w:p>
                    </w:tc>
                    <w:tc>
                      <w:tcPr>
                        <w:tcW w:w="4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由设备厂家提供</w:t>
                        </w:r>
                      </w:p>
                    </w:tc>
                    <w:tc>
                      <w:tcPr>
                        <w:tcW w:w="11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Dephina、clair、ionair</w:t>
                        </w: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Arial Narrow" w:hAnsi="Arial Narrow" w:eastAsia="Arial Narrow" w:cs="Arial Narrow"/>
                            <w:color w:val="auto"/>
                            <w:sz w:val="20"/>
                            <w:szCs w:val="20"/>
                            <w:highlight w:val="none"/>
                          </w:rPr>
                        </w:pPr>
                      </w:p>
                    </w:tc>
                  </w:tr>
                  <w:tr>
                    <w:tblPrEx>
                      <w:tblCellMar>
                        <w:top w:w="0" w:type="dxa"/>
                        <w:left w:w="108" w:type="dxa"/>
                        <w:bottom w:w="0" w:type="dxa"/>
                        <w:right w:w="108" w:type="dxa"/>
                      </w:tblCellMar>
                    </w:tblPrEx>
                    <w:trPr>
                      <w:trHeight w:val="567"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3 </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臭氧检测仪</w:t>
                        </w:r>
                      </w:p>
                    </w:tc>
                    <w:tc>
                      <w:tcPr>
                        <w:tcW w:w="4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由设备厂家提供</w:t>
                        </w:r>
                      </w:p>
                    </w:tc>
                    <w:tc>
                      <w:tcPr>
                        <w:tcW w:w="11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逸云天、西门子、菲兰</w:t>
                        </w: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Arial Narrow" w:hAnsi="Arial Narrow" w:eastAsia="Arial Narrow" w:cs="Arial Narrow"/>
                            <w:color w:val="auto"/>
                            <w:sz w:val="20"/>
                            <w:szCs w:val="20"/>
                            <w:highlight w:val="none"/>
                          </w:rPr>
                        </w:pPr>
                      </w:p>
                    </w:tc>
                  </w:tr>
                  <w:tr>
                    <w:tblPrEx>
                      <w:tblCellMar>
                        <w:top w:w="0" w:type="dxa"/>
                        <w:left w:w="108" w:type="dxa"/>
                        <w:bottom w:w="0" w:type="dxa"/>
                        <w:right w:w="108" w:type="dxa"/>
                      </w:tblCellMar>
                    </w:tblPrEx>
                    <w:trPr>
                      <w:trHeight w:val="567"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4 </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风速检测仪</w:t>
                        </w:r>
                      </w:p>
                    </w:tc>
                    <w:tc>
                      <w:tcPr>
                        <w:tcW w:w="4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由设备厂家提供</w:t>
                        </w:r>
                      </w:p>
                    </w:tc>
                    <w:tc>
                      <w:tcPr>
                        <w:tcW w:w="11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逸云天、西门子、菲兰</w:t>
                        </w: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Arial Narrow" w:hAnsi="Arial Narrow" w:eastAsia="Arial Narrow" w:cs="Arial Narrow"/>
                            <w:color w:val="auto"/>
                            <w:sz w:val="20"/>
                            <w:szCs w:val="20"/>
                            <w:highlight w:val="none"/>
                          </w:rPr>
                        </w:pPr>
                      </w:p>
                    </w:tc>
                  </w:tr>
                  <w:tr>
                    <w:tblPrEx>
                      <w:tblCellMar>
                        <w:top w:w="0" w:type="dxa"/>
                        <w:left w:w="108" w:type="dxa"/>
                        <w:bottom w:w="0" w:type="dxa"/>
                        <w:right w:w="108" w:type="dxa"/>
                      </w:tblCellMar>
                    </w:tblPrEx>
                    <w:trPr>
                      <w:trHeight w:val="567"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5 </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voc检测仪</w:t>
                        </w:r>
                      </w:p>
                    </w:tc>
                    <w:tc>
                      <w:tcPr>
                        <w:tcW w:w="4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由设备厂家提供</w:t>
                        </w:r>
                      </w:p>
                    </w:tc>
                    <w:tc>
                      <w:tcPr>
                        <w:tcW w:w="11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逸云天、西门子、菲兰</w:t>
                        </w: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2.00 </w:t>
                        </w:r>
                      </w:p>
                    </w:tc>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Arial Narrow" w:hAnsi="Arial Narrow" w:eastAsia="Arial Narrow" w:cs="Arial Narrow"/>
                            <w:color w:val="auto"/>
                            <w:sz w:val="20"/>
                            <w:szCs w:val="20"/>
                            <w:highlight w:val="none"/>
                          </w:rPr>
                        </w:pPr>
                      </w:p>
                    </w:tc>
                  </w:tr>
                  <w:tr>
                    <w:tblPrEx>
                      <w:tblCellMar>
                        <w:top w:w="0" w:type="dxa"/>
                        <w:left w:w="108" w:type="dxa"/>
                        <w:bottom w:w="0" w:type="dxa"/>
                        <w:right w:w="108" w:type="dxa"/>
                      </w:tblCellMar>
                    </w:tblPrEx>
                    <w:trPr>
                      <w:trHeight w:val="567"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6 </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甲醛检测仪</w:t>
                        </w:r>
                      </w:p>
                    </w:tc>
                    <w:tc>
                      <w:tcPr>
                        <w:tcW w:w="4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由设备厂家提供</w:t>
                        </w:r>
                      </w:p>
                    </w:tc>
                    <w:tc>
                      <w:tcPr>
                        <w:tcW w:w="11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逸云天、西门子、菲兰</w:t>
                        </w: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2.00 </w:t>
                        </w:r>
                      </w:p>
                    </w:tc>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Arial Narrow" w:hAnsi="Arial Narrow" w:eastAsia="Arial Narrow" w:cs="Arial Narrow"/>
                            <w:color w:val="auto"/>
                            <w:sz w:val="20"/>
                            <w:szCs w:val="20"/>
                            <w:highlight w:val="none"/>
                          </w:rPr>
                        </w:pPr>
                      </w:p>
                    </w:tc>
                  </w:tr>
                  <w:tr>
                    <w:tblPrEx>
                      <w:tblCellMar>
                        <w:top w:w="0" w:type="dxa"/>
                        <w:left w:w="108" w:type="dxa"/>
                        <w:bottom w:w="0" w:type="dxa"/>
                        <w:right w:w="108" w:type="dxa"/>
                      </w:tblCellMar>
                    </w:tblPrEx>
                    <w:trPr>
                      <w:trHeight w:val="567"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7 </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二甲苯检测仪</w:t>
                        </w:r>
                      </w:p>
                    </w:tc>
                    <w:tc>
                      <w:tcPr>
                        <w:tcW w:w="4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由设备厂家提供</w:t>
                        </w:r>
                      </w:p>
                    </w:tc>
                    <w:tc>
                      <w:tcPr>
                        <w:tcW w:w="11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逸云天、西门子、菲兰</w:t>
                        </w: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2.00 </w:t>
                        </w:r>
                      </w:p>
                    </w:tc>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Arial Narrow" w:hAnsi="Arial Narrow" w:eastAsia="Arial Narrow" w:cs="Arial Narrow"/>
                            <w:color w:val="auto"/>
                            <w:sz w:val="20"/>
                            <w:szCs w:val="20"/>
                            <w:highlight w:val="none"/>
                          </w:rPr>
                        </w:pPr>
                      </w:p>
                    </w:tc>
                  </w:tr>
                  <w:tr>
                    <w:tblPrEx>
                      <w:tblCellMar>
                        <w:top w:w="0" w:type="dxa"/>
                        <w:left w:w="108" w:type="dxa"/>
                        <w:bottom w:w="0" w:type="dxa"/>
                        <w:right w:w="108" w:type="dxa"/>
                      </w:tblCellMar>
                    </w:tblPrEx>
                    <w:trPr>
                      <w:trHeight w:val="1040"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8 </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远程监测报警与质控评价软件模块</w:t>
                        </w:r>
                      </w:p>
                    </w:tc>
                    <w:tc>
                      <w:tcPr>
                        <w:tcW w:w="4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由设备厂家提供</w:t>
                        </w:r>
                      </w:p>
                    </w:tc>
                    <w:tc>
                      <w:tcPr>
                        <w:tcW w:w="11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特锐德、思之泉、菲兰</w:t>
                        </w: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套</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Arial Narrow" w:hAnsi="Arial Narrow" w:eastAsia="Arial Narrow" w:cs="Arial Narrow"/>
                            <w:color w:val="auto"/>
                            <w:sz w:val="20"/>
                            <w:szCs w:val="20"/>
                            <w:highlight w:val="none"/>
                          </w:rPr>
                        </w:pPr>
                      </w:p>
                    </w:tc>
                  </w:tr>
                  <w:tr>
                    <w:tblPrEx>
                      <w:tblCellMar>
                        <w:top w:w="0" w:type="dxa"/>
                        <w:left w:w="108" w:type="dxa"/>
                        <w:bottom w:w="0" w:type="dxa"/>
                        <w:right w:w="108" w:type="dxa"/>
                      </w:tblCellMar>
                    </w:tblPrEx>
                    <w:trPr>
                      <w:trHeight w:val="850"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9 </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层流粒子布气装置</w:t>
                        </w:r>
                      </w:p>
                    </w:tc>
                    <w:tc>
                      <w:tcPr>
                        <w:tcW w:w="4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由设备厂家提供</w:t>
                        </w:r>
                      </w:p>
                    </w:tc>
                    <w:tc>
                      <w:tcPr>
                        <w:tcW w:w="11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特锐德、思之泉、菲兰</w:t>
                        </w: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16.00 </w:t>
                        </w:r>
                      </w:p>
                    </w:tc>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Arial Narrow" w:hAnsi="Arial Narrow" w:eastAsia="Arial Narrow" w:cs="Arial Narrow"/>
                            <w:color w:val="auto"/>
                            <w:sz w:val="20"/>
                            <w:szCs w:val="20"/>
                            <w:highlight w:val="none"/>
                          </w:rPr>
                        </w:pPr>
                      </w:p>
                    </w:tc>
                  </w:tr>
                  <w:tr>
                    <w:tblPrEx>
                      <w:tblCellMar>
                        <w:top w:w="0" w:type="dxa"/>
                        <w:left w:w="108" w:type="dxa"/>
                        <w:bottom w:w="0" w:type="dxa"/>
                        <w:right w:w="108" w:type="dxa"/>
                      </w:tblCellMar>
                    </w:tblPrEx>
                    <w:trPr>
                      <w:trHeight w:val="850"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 </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组合式外排废气处理装置</w:t>
                        </w:r>
                      </w:p>
                    </w:tc>
                    <w:tc>
                      <w:tcPr>
                        <w:tcW w:w="4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由设备厂家提供</w:t>
                        </w:r>
                      </w:p>
                    </w:tc>
                    <w:tc>
                      <w:tcPr>
                        <w:tcW w:w="11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特锐德、思之泉、菲兰</w:t>
                        </w: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Arial Narrow" w:hAnsi="Arial Narrow" w:eastAsia="Arial Narrow" w:cs="Arial Narrow"/>
                            <w:color w:val="auto"/>
                            <w:sz w:val="20"/>
                            <w:szCs w:val="20"/>
                            <w:highlight w:val="none"/>
                          </w:rPr>
                        </w:pPr>
                      </w:p>
                    </w:tc>
                  </w:tr>
                  <w:tr>
                    <w:tblPrEx>
                      <w:tblCellMar>
                        <w:top w:w="0" w:type="dxa"/>
                        <w:left w:w="108" w:type="dxa"/>
                        <w:bottom w:w="0" w:type="dxa"/>
                        <w:right w:w="108" w:type="dxa"/>
                      </w:tblCellMar>
                    </w:tblPrEx>
                    <w:trPr>
                      <w:trHeight w:val="850"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11 </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桌面导流装置</w:t>
                        </w:r>
                      </w:p>
                    </w:tc>
                    <w:tc>
                      <w:tcPr>
                        <w:tcW w:w="4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由设备厂家提供</w:t>
                        </w:r>
                      </w:p>
                    </w:tc>
                    <w:tc>
                      <w:tcPr>
                        <w:tcW w:w="11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特锐德、思之泉、菲兰</w:t>
                        </w: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套</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3.00 </w:t>
                        </w:r>
                      </w:p>
                    </w:tc>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Arial Narrow" w:hAnsi="Arial Narrow" w:eastAsia="Arial Narrow" w:cs="Arial Narrow"/>
                            <w:color w:val="auto"/>
                            <w:sz w:val="20"/>
                            <w:szCs w:val="20"/>
                            <w:highlight w:val="none"/>
                          </w:rPr>
                        </w:pPr>
                      </w:p>
                    </w:tc>
                  </w:tr>
                  <w:tr>
                    <w:tblPrEx>
                      <w:tblCellMar>
                        <w:top w:w="0" w:type="dxa"/>
                        <w:left w:w="108" w:type="dxa"/>
                        <w:bottom w:w="0" w:type="dxa"/>
                        <w:right w:w="108" w:type="dxa"/>
                      </w:tblCellMar>
                    </w:tblPrEx>
                    <w:trPr>
                      <w:trHeight w:val="1140"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12 </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新风型智能化生物安全水气分离式取材工作站台</w:t>
                        </w:r>
                      </w:p>
                    </w:tc>
                    <w:tc>
                      <w:tcPr>
                        <w:tcW w:w="4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由设备厂家提供</w:t>
                        </w:r>
                      </w:p>
                    </w:tc>
                    <w:tc>
                      <w:tcPr>
                        <w:tcW w:w="11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特锐德、思之泉、菲兰</w:t>
                        </w: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2.00 </w:t>
                        </w:r>
                      </w:p>
                    </w:tc>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Arial Narrow" w:hAnsi="Arial Narrow" w:eastAsia="Arial Narrow" w:cs="Arial Narrow"/>
                            <w:color w:val="auto"/>
                            <w:sz w:val="20"/>
                            <w:szCs w:val="20"/>
                            <w:highlight w:val="none"/>
                          </w:rPr>
                        </w:pPr>
                      </w:p>
                    </w:tc>
                  </w:tr>
                  <w:tr>
                    <w:tblPrEx>
                      <w:tblCellMar>
                        <w:top w:w="0" w:type="dxa"/>
                        <w:left w:w="108" w:type="dxa"/>
                        <w:bottom w:w="0" w:type="dxa"/>
                        <w:right w:w="108" w:type="dxa"/>
                      </w:tblCellMar>
                    </w:tblPrEx>
                    <w:trPr>
                      <w:trHeight w:val="850"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13 </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染色通风柜</w:t>
                        </w:r>
                      </w:p>
                    </w:tc>
                    <w:tc>
                      <w:tcPr>
                        <w:tcW w:w="4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由设备厂家提供</w:t>
                        </w:r>
                      </w:p>
                    </w:tc>
                    <w:tc>
                      <w:tcPr>
                        <w:tcW w:w="11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特锐德、思之泉、菲兰</w:t>
                        </w: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Arial Narrow" w:hAnsi="Arial Narrow" w:eastAsia="Arial Narrow" w:cs="Arial Narrow"/>
                            <w:color w:val="auto"/>
                            <w:sz w:val="20"/>
                            <w:szCs w:val="20"/>
                            <w:highlight w:val="none"/>
                          </w:rPr>
                        </w:pPr>
                      </w:p>
                    </w:tc>
                  </w:tr>
                  <w:tr>
                    <w:tblPrEx>
                      <w:tblCellMar>
                        <w:top w:w="0" w:type="dxa"/>
                        <w:left w:w="108" w:type="dxa"/>
                        <w:bottom w:w="0" w:type="dxa"/>
                        <w:right w:w="108" w:type="dxa"/>
                      </w:tblCellMar>
                    </w:tblPrEx>
                    <w:trPr>
                      <w:trHeight w:val="850"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14 </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自动染色封片一体通风柜</w:t>
                        </w:r>
                      </w:p>
                    </w:tc>
                    <w:tc>
                      <w:tcPr>
                        <w:tcW w:w="4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由设备厂家提供</w:t>
                        </w:r>
                      </w:p>
                    </w:tc>
                    <w:tc>
                      <w:tcPr>
                        <w:tcW w:w="11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特锐德、思之泉、菲兰</w:t>
                        </w: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Arial Narrow" w:hAnsi="Arial Narrow" w:eastAsia="Arial Narrow" w:cs="Arial Narrow"/>
                            <w:color w:val="auto"/>
                            <w:sz w:val="20"/>
                            <w:szCs w:val="20"/>
                            <w:highlight w:val="none"/>
                          </w:rPr>
                        </w:pPr>
                      </w:p>
                    </w:tc>
                  </w:tr>
                  <w:tr>
                    <w:tblPrEx>
                      <w:tblCellMar>
                        <w:top w:w="0" w:type="dxa"/>
                        <w:left w:w="108" w:type="dxa"/>
                        <w:bottom w:w="0" w:type="dxa"/>
                        <w:right w:w="108" w:type="dxa"/>
                      </w:tblCellMar>
                    </w:tblPrEx>
                    <w:trPr>
                      <w:trHeight w:val="850"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15 </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脱水通风柜</w:t>
                        </w:r>
                      </w:p>
                    </w:tc>
                    <w:tc>
                      <w:tcPr>
                        <w:tcW w:w="4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由设备厂家提供</w:t>
                        </w:r>
                      </w:p>
                    </w:tc>
                    <w:tc>
                      <w:tcPr>
                        <w:tcW w:w="11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特锐德、思之泉、菲兰</w:t>
                        </w: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Arial Narrow" w:hAnsi="Arial Narrow" w:eastAsia="Arial Narrow" w:cs="Arial Narrow"/>
                            <w:color w:val="auto"/>
                            <w:sz w:val="20"/>
                            <w:szCs w:val="20"/>
                            <w:highlight w:val="none"/>
                          </w:rPr>
                        </w:pPr>
                      </w:p>
                    </w:tc>
                  </w:tr>
                  <w:tr>
                    <w:tblPrEx>
                      <w:tblCellMar>
                        <w:top w:w="0" w:type="dxa"/>
                        <w:left w:w="108" w:type="dxa"/>
                        <w:bottom w:w="0" w:type="dxa"/>
                        <w:right w:w="108" w:type="dxa"/>
                      </w:tblCellMar>
                    </w:tblPrEx>
                    <w:trPr>
                      <w:trHeight w:val="850"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16 </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安全型不锈钢标本柜</w:t>
                        </w:r>
                      </w:p>
                    </w:tc>
                    <w:tc>
                      <w:tcPr>
                        <w:tcW w:w="4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由设备厂家提供</w:t>
                        </w:r>
                      </w:p>
                    </w:tc>
                    <w:tc>
                      <w:tcPr>
                        <w:tcW w:w="11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特锐德、思之泉、菲兰</w:t>
                        </w: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3.00 </w:t>
                        </w:r>
                      </w:p>
                    </w:tc>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Arial Narrow" w:hAnsi="Arial Narrow" w:eastAsia="Arial Narrow" w:cs="Arial Narrow"/>
                            <w:color w:val="auto"/>
                            <w:sz w:val="20"/>
                            <w:szCs w:val="20"/>
                            <w:highlight w:val="none"/>
                          </w:rPr>
                        </w:pPr>
                      </w:p>
                    </w:tc>
                  </w:tr>
                  <w:tr>
                    <w:tblPrEx>
                      <w:tblCellMar>
                        <w:top w:w="0" w:type="dxa"/>
                        <w:left w:w="108" w:type="dxa"/>
                        <w:bottom w:w="0" w:type="dxa"/>
                        <w:right w:w="108" w:type="dxa"/>
                      </w:tblCellMar>
                    </w:tblPrEx>
                    <w:trPr>
                      <w:trHeight w:val="853"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17 </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控制线</w:t>
                        </w:r>
                      </w:p>
                    </w:tc>
                    <w:tc>
                      <w:tcPr>
                        <w:tcW w:w="4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RVVP4*1.0，敷设方式：桥架、配管内</w:t>
                        </w:r>
                      </w:p>
                    </w:tc>
                    <w:tc>
                      <w:tcPr>
                        <w:tcW w:w="11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上上、特变、远东</w:t>
                        </w: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m</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305.27 </w:t>
                        </w:r>
                      </w:p>
                    </w:tc>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Arial Narrow" w:hAnsi="Arial Narrow" w:eastAsia="Arial Narrow" w:cs="Arial Narrow"/>
                            <w:color w:val="auto"/>
                            <w:sz w:val="20"/>
                            <w:szCs w:val="20"/>
                            <w:highlight w:val="none"/>
                          </w:rPr>
                        </w:pPr>
                      </w:p>
                    </w:tc>
                  </w:tr>
                  <w:tr>
                    <w:tblPrEx>
                      <w:tblCellMar>
                        <w:top w:w="0" w:type="dxa"/>
                        <w:left w:w="108" w:type="dxa"/>
                        <w:bottom w:w="0" w:type="dxa"/>
                        <w:right w:w="108" w:type="dxa"/>
                      </w:tblCellMar>
                    </w:tblPrEx>
                    <w:trPr>
                      <w:trHeight w:val="1060"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18 </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线管</w:t>
                        </w:r>
                      </w:p>
                    </w:tc>
                    <w:tc>
                      <w:tcPr>
                        <w:tcW w:w="4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JDG20，配置形式及部位：砖、混凝土结构明暗配；含热浸锌吊支架、接地及防腐等；开槽补槽粉刷等一切相关费用</w:t>
                        </w:r>
                      </w:p>
                    </w:tc>
                    <w:tc>
                      <w:tcPr>
                        <w:tcW w:w="11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m</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300.48 </w:t>
                        </w:r>
                      </w:p>
                    </w:tc>
                    <w:tc>
                      <w:tcPr>
                        <w:tcW w:w="668"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420"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auto"/>
                            <w:sz w:val="20"/>
                            <w:szCs w:val="20"/>
                            <w:highlight w:val="none"/>
                          </w:rPr>
                        </w:pPr>
                      </w:p>
                    </w:tc>
                    <w:tc>
                      <w:tcPr>
                        <w:tcW w:w="542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bCs/>
                            <w:color w:val="auto"/>
                            <w:sz w:val="20"/>
                            <w:szCs w:val="20"/>
                            <w:highlight w:val="none"/>
                          </w:rPr>
                        </w:pPr>
                        <w:r>
                          <w:rPr>
                            <w:rFonts w:hint="eastAsia" w:ascii="宋体" w:hAnsi="宋体" w:cs="宋体"/>
                            <w:b/>
                            <w:bCs/>
                            <w:color w:val="auto"/>
                            <w:sz w:val="20"/>
                            <w:szCs w:val="20"/>
                            <w:highlight w:val="none"/>
                            <w:lang w:bidi="ar"/>
                          </w:rPr>
                          <w:t>合价</w:t>
                        </w:r>
                      </w:p>
                    </w:tc>
                    <w:tc>
                      <w:tcPr>
                        <w:tcW w:w="115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 w:val="20"/>
                            <w:szCs w:val="20"/>
                            <w:highlight w:val="none"/>
                          </w:rPr>
                        </w:pP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auto"/>
                            <w:sz w:val="20"/>
                            <w:szCs w:val="20"/>
                            <w:highlight w:val="none"/>
                          </w:rPr>
                        </w:pP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auto"/>
                            <w:sz w:val="20"/>
                            <w:szCs w:val="20"/>
                            <w:highlight w:val="none"/>
                          </w:rPr>
                        </w:pPr>
                      </w:p>
                    </w:tc>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Arial Narrow" w:hAnsi="Arial Narrow" w:eastAsia="Arial Narrow" w:cs="Arial Narrow"/>
                            <w:color w:val="auto"/>
                            <w:sz w:val="20"/>
                            <w:szCs w:val="20"/>
                            <w:highlight w:val="none"/>
                          </w:rPr>
                        </w:pPr>
                      </w:p>
                    </w:tc>
                  </w:tr>
                </w:tbl>
                <w:p>
                  <w:pPr>
                    <w:widowControl/>
                    <w:jc w:val="center"/>
                    <w:textAlignment w:val="center"/>
                    <w:rPr>
                      <w:rFonts w:ascii="宋体" w:hAnsi="宋体" w:cs="宋体"/>
                      <w:b/>
                      <w:bCs/>
                      <w:color w:val="auto"/>
                      <w:sz w:val="32"/>
                      <w:szCs w:val="32"/>
                      <w:highlight w:val="none"/>
                      <w:lang w:bidi="ar"/>
                    </w:rPr>
                  </w:pPr>
                </w:p>
                <w:p>
                  <w:pPr>
                    <w:widowControl/>
                    <w:jc w:val="center"/>
                    <w:textAlignment w:val="center"/>
                    <w:rPr>
                      <w:rFonts w:ascii="宋体" w:hAnsi="宋体" w:cs="宋体"/>
                      <w:b/>
                      <w:bCs/>
                      <w:color w:val="auto"/>
                      <w:sz w:val="32"/>
                      <w:szCs w:val="32"/>
                      <w:highlight w:val="none"/>
                      <w:lang w:bidi="ar"/>
                    </w:rPr>
                  </w:pPr>
                </w:p>
                <w:p>
                  <w:pPr>
                    <w:widowControl/>
                    <w:jc w:val="center"/>
                    <w:textAlignment w:val="center"/>
                    <w:rPr>
                      <w:rFonts w:ascii="宋体" w:hAnsi="宋体" w:cs="宋体"/>
                      <w:b/>
                      <w:bCs/>
                      <w:color w:val="auto"/>
                      <w:sz w:val="32"/>
                      <w:szCs w:val="32"/>
                      <w:highlight w:val="none"/>
                      <w:lang w:bidi="ar"/>
                    </w:rPr>
                  </w:pPr>
                </w:p>
                <w:p>
                  <w:pPr>
                    <w:widowControl/>
                    <w:jc w:val="center"/>
                    <w:textAlignment w:val="center"/>
                    <w:rPr>
                      <w:rFonts w:ascii="宋体" w:hAnsi="宋体" w:cs="宋体"/>
                      <w:b/>
                      <w:bCs/>
                      <w:color w:val="auto"/>
                      <w:sz w:val="32"/>
                      <w:szCs w:val="32"/>
                      <w:highlight w:val="none"/>
                      <w:lang w:bidi="ar"/>
                    </w:rPr>
                  </w:pPr>
                </w:p>
                <w:p>
                  <w:pPr>
                    <w:widowControl/>
                    <w:jc w:val="center"/>
                    <w:textAlignment w:val="center"/>
                    <w:rPr>
                      <w:rFonts w:ascii="宋体" w:hAnsi="宋体" w:cs="宋体"/>
                      <w:b/>
                      <w:bCs/>
                      <w:color w:val="auto"/>
                      <w:sz w:val="32"/>
                      <w:szCs w:val="32"/>
                      <w:highlight w:val="none"/>
                      <w:lang w:bidi="ar"/>
                    </w:rPr>
                  </w:pPr>
                </w:p>
                <w:p>
                  <w:pPr>
                    <w:pStyle w:val="2"/>
                  </w:pPr>
                </w:p>
                <w:p>
                  <w:pPr>
                    <w:widowControl/>
                    <w:jc w:val="center"/>
                    <w:textAlignment w:val="center"/>
                    <w:rPr>
                      <w:rFonts w:ascii="宋体" w:hAnsi="宋体" w:cs="宋体"/>
                      <w:b/>
                      <w:bCs/>
                      <w:color w:val="auto"/>
                      <w:sz w:val="32"/>
                      <w:szCs w:val="32"/>
                      <w:highlight w:val="none"/>
                      <w:lang w:bidi="ar"/>
                    </w:rPr>
                  </w:pPr>
                </w:p>
                <w:p>
                  <w:pPr>
                    <w:widowControl/>
                    <w:jc w:val="center"/>
                    <w:textAlignment w:val="center"/>
                    <w:rPr>
                      <w:rFonts w:ascii="宋体" w:hAnsi="宋体" w:cs="宋体"/>
                      <w:b/>
                      <w:bCs/>
                      <w:color w:val="auto"/>
                      <w:sz w:val="32"/>
                      <w:szCs w:val="32"/>
                      <w:highlight w:val="none"/>
                      <w:lang w:bidi="ar"/>
                    </w:rPr>
                  </w:pPr>
                </w:p>
                <w:p>
                  <w:pPr>
                    <w:widowControl/>
                    <w:jc w:val="center"/>
                    <w:textAlignment w:val="center"/>
                    <w:rPr>
                      <w:rFonts w:ascii="宋体" w:hAnsi="宋体" w:cs="宋体"/>
                      <w:b/>
                      <w:bCs/>
                      <w:color w:val="auto"/>
                      <w:sz w:val="32"/>
                      <w:szCs w:val="32"/>
                      <w:highlight w:val="none"/>
                    </w:rPr>
                  </w:pPr>
                  <w:r>
                    <w:rPr>
                      <w:rFonts w:hint="eastAsia" w:ascii="宋体" w:hAnsi="宋体" w:cs="宋体"/>
                      <w:b/>
                      <w:bCs/>
                      <w:color w:val="auto"/>
                      <w:sz w:val="32"/>
                      <w:szCs w:val="32"/>
                      <w:highlight w:val="none"/>
                      <w:lang w:bidi="ar"/>
                    </w:rPr>
                    <w:t>给排水专项工程清单</w:t>
                  </w:r>
                </w:p>
              </w:tc>
            </w:tr>
          </w:tbl>
          <w:p>
            <w:pPr>
              <w:pStyle w:val="3"/>
              <w:rPr>
                <w:color w:val="auto"/>
                <w:highlight w:val="none"/>
              </w:rPr>
            </w:pPr>
          </w:p>
        </w:tc>
      </w:tr>
    </w:tbl>
    <w:p>
      <w:pPr>
        <w:rPr>
          <w:vanish/>
          <w:color w:val="auto"/>
          <w:highlight w:val="none"/>
        </w:rPr>
      </w:pPr>
    </w:p>
    <w:tbl>
      <w:tblPr>
        <w:tblStyle w:val="27"/>
        <w:tblpPr w:leftFromText="180" w:rightFromText="180" w:vertAnchor="text" w:horzAnchor="page" w:tblpX="1503" w:tblpY="49"/>
        <w:tblOverlap w:val="never"/>
        <w:tblW w:w="9309" w:type="dxa"/>
        <w:tblInd w:w="0" w:type="dxa"/>
        <w:tblLayout w:type="fixed"/>
        <w:tblCellMar>
          <w:top w:w="0" w:type="dxa"/>
          <w:left w:w="108" w:type="dxa"/>
          <w:bottom w:w="0" w:type="dxa"/>
          <w:right w:w="108" w:type="dxa"/>
        </w:tblCellMar>
      </w:tblPr>
      <w:tblGrid>
        <w:gridCol w:w="464"/>
        <w:gridCol w:w="922"/>
        <w:gridCol w:w="4473"/>
        <w:gridCol w:w="1147"/>
        <w:gridCol w:w="750"/>
        <w:gridCol w:w="885"/>
        <w:gridCol w:w="668"/>
      </w:tblGrid>
      <w:tr>
        <w:tblPrEx>
          <w:tblCellMar>
            <w:top w:w="0" w:type="dxa"/>
            <w:left w:w="108" w:type="dxa"/>
            <w:bottom w:w="0" w:type="dxa"/>
            <w:right w:w="108" w:type="dxa"/>
          </w:tblCellMar>
        </w:tblPrEx>
        <w:trPr>
          <w:trHeight w:val="342" w:hRule="atLeast"/>
        </w:trPr>
        <w:tc>
          <w:tcPr>
            <w:tcW w:w="46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bCs/>
                <w:color w:val="auto"/>
                <w:sz w:val="20"/>
                <w:szCs w:val="20"/>
                <w:highlight w:val="none"/>
              </w:rPr>
            </w:pPr>
            <w:r>
              <w:rPr>
                <w:rFonts w:hint="eastAsia" w:ascii="宋体" w:hAnsi="宋体" w:cs="宋体"/>
                <w:b/>
                <w:bCs/>
                <w:color w:val="auto"/>
                <w:sz w:val="20"/>
                <w:szCs w:val="20"/>
                <w:highlight w:val="none"/>
                <w:lang w:bidi="ar"/>
              </w:rPr>
              <w:t>序号</w:t>
            </w:r>
          </w:p>
        </w:tc>
        <w:tc>
          <w:tcPr>
            <w:tcW w:w="92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b/>
                <w:bCs/>
                <w:color w:val="auto"/>
                <w:sz w:val="20"/>
                <w:szCs w:val="20"/>
                <w:highlight w:val="none"/>
              </w:rPr>
            </w:pPr>
            <w:r>
              <w:rPr>
                <w:rFonts w:hint="eastAsia" w:ascii="宋体" w:hAnsi="宋体" w:cs="宋体"/>
                <w:b/>
                <w:bCs/>
                <w:color w:val="auto"/>
                <w:sz w:val="20"/>
                <w:szCs w:val="20"/>
                <w:highlight w:val="none"/>
                <w:lang w:bidi="ar"/>
              </w:rPr>
              <w:t>设备、材料名称</w:t>
            </w:r>
          </w:p>
        </w:tc>
        <w:tc>
          <w:tcPr>
            <w:tcW w:w="447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bCs/>
                <w:color w:val="auto"/>
                <w:sz w:val="20"/>
                <w:szCs w:val="20"/>
                <w:highlight w:val="none"/>
              </w:rPr>
            </w:pPr>
            <w:r>
              <w:rPr>
                <w:rFonts w:hint="eastAsia" w:ascii="宋体" w:hAnsi="宋体" w:cs="宋体"/>
                <w:b/>
                <w:bCs/>
                <w:color w:val="auto"/>
                <w:sz w:val="20"/>
                <w:szCs w:val="20"/>
                <w:highlight w:val="none"/>
                <w:lang w:bidi="ar"/>
              </w:rPr>
              <w:t>规格/型号</w:t>
            </w:r>
          </w:p>
        </w:tc>
        <w:tc>
          <w:tcPr>
            <w:tcW w:w="114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bCs/>
                <w:color w:val="auto"/>
                <w:sz w:val="20"/>
                <w:szCs w:val="20"/>
                <w:highlight w:val="none"/>
              </w:rPr>
            </w:pPr>
            <w:r>
              <w:rPr>
                <w:rFonts w:hint="eastAsia" w:ascii="宋体" w:hAnsi="宋体" w:cs="宋体"/>
                <w:b/>
                <w:bCs/>
                <w:color w:val="auto"/>
                <w:sz w:val="20"/>
                <w:szCs w:val="20"/>
                <w:highlight w:val="none"/>
                <w:lang w:val="en-US" w:eastAsia="zh-CN" w:bidi="ar"/>
              </w:rPr>
              <w:t>推荐</w:t>
            </w:r>
            <w:r>
              <w:rPr>
                <w:rFonts w:hint="eastAsia" w:ascii="宋体" w:hAnsi="宋体" w:cs="宋体"/>
                <w:b/>
                <w:bCs/>
                <w:color w:val="auto"/>
                <w:sz w:val="20"/>
                <w:szCs w:val="20"/>
                <w:highlight w:val="none"/>
                <w:lang w:bidi="ar"/>
              </w:rPr>
              <w:t>品牌</w:t>
            </w:r>
          </w:p>
        </w:tc>
        <w:tc>
          <w:tcPr>
            <w:tcW w:w="75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bCs/>
                <w:color w:val="auto"/>
                <w:sz w:val="20"/>
                <w:szCs w:val="20"/>
                <w:highlight w:val="none"/>
              </w:rPr>
            </w:pPr>
            <w:r>
              <w:rPr>
                <w:rFonts w:hint="eastAsia" w:ascii="宋体" w:hAnsi="宋体" w:cs="宋体"/>
                <w:b/>
                <w:bCs/>
                <w:color w:val="auto"/>
                <w:sz w:val="20"/>
                <w:szCs w:val="20"/>
                <w:highlight w:val="none"/>
                <w:lang w:bidi="ar"/>
              </w:rPr>
              <w:t>单位</w:t>
            </w:r>
          </w:p>
        </w:tc>
        <w:tc>
          <w:tcPr>
            <w:tcW w:w="88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bCs/>
                <w:color w:val="auto"/>
                <w:sz w:val="20"/>
                <w:szCs w:val="20"/>
                <w:highlight w:val="none"/>
              </w:rPr>
            </w:pPr>
            <w:r>
              <w:rPr>
                <w:rFonts w:hint="eastAsia" w:ascii="宋体" w:hAnsi="宋体" w:cs="宋体"/>
                <w:b/>
                <w:bCs/>
                <w:color w:val="auto"/>
                <w:sz w:val="20"/>
                <w:szCs w:val="20"/>
                <w:highlight w:val="none"/>
                <w:lang w:bidi="ar"/>
              </w:rPr>
              <w:t>工程量</w:t>
            </w:r>
          </w:p>
        </w:tc>
        <w:tc>
          <w:tcPr>
            <w:tcW w:w="668"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b/>
                <w:bCs/>
                <w:color w:val="auto"/>
                <w:sz w:val="20"/>
                <w:szCs w:val="20"/>
                <w:highlight w:val="none"/>
              </w:rPr>
            </w:pPr>
            <w:r>
              <w:rPr>
                <w:rFonts w:hint="eastAsia" w:ascii="宋体" w:hAnsi="宋体" w:cs="宋体"/>
                <w:b/>
                <w:bCs/>
                <w:color w:val="auto"/>
                <w:sz w:val="20"/>
                <w:szCs w:val="20"/>
                <w:highlight w:val="none"/>
                <w:lang w:bidi="ar"/>
              </w:rPr>
              <w:t>备注</w:t>
            </w:r>
          </w:p>
        </w:tc>
      </w:tr>
      <w:tr>
        <w:tblPrEx>
          <w:tblCellMar>
            <w:top w:w="0" w:type="dxa"/>
            <w:left w:w="108" w:type="dxa"/>
            <w:bottom w:w="0" w:type="dxa"/>
            <w:right w:w="108" w:type="dxa"/>
          </w:tblCellMar>
        </w:tblPrEx>
        <w:trPr>
          <w:trHeight w:val="342" w:hRule="atLeast"/>
        </w:trPr>
        <w:tc>
          <w:tcPr>
            <w:tcW w:w="46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bCs/>
                <w:color w:val="auto"/>
                <w:sz w:val="20"/>
                <w:szCs w:val="20"/>
                <w:highlight w:val="none"/>
              </w:rPr>
            </w:pPr>
          </w:p>
        </w:tc>
        <w:tc>
          <w:tcPr>
            <w:tcW w:w="92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b/>
                <w:bCs/>
                <w:color w:val="auto"/>
                <w:sz w:val="20"/>
                <w:szCs w:val="20"/>
                <w:highlight w:val="none"/>
              </w:rPr>
            </w:pPr>
          </w:p>
        </w:tc>
        <w:tc>
          <w:tcPr>
            <w:tcW w:w="447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bCs/>
                <w:color w:val="auto"/>
                <w:sz w:val="20"/>
                <w:szCs w:val="20"/>
                <w:highlight w:val="none"/>
              </w:rPr>
            </w:pPr>
          </w:p>
        </w:tc>
        <w:tc>
          <w:tcPr>
            <w:tcW w:w="114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bCs/>
                <w:color w:val="auto"/>
                <w:sz w:val="20"/>
                <w:szCs w:val="20"/>
                <w:highlight w:val="none"/>
              </w:rPr>
            </w:pPr>
          </w:p>
        </w:tc>
        <w:tc>
          <w:tcPr>
            <w:tcW w:w="7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bCs/>
                <w:color w:val="auto"/>
                <w:sz w:val="20"/>
                <w:szCs w:val="20"/>
                <w:highlight w:val="none"/>
              </w:rPr>
            </w:pPr>
          </w:p>
        </w:tc>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bCs/>
                <w:color w:val="auto"/>
                <w:sz w:val="20"/>
                <w:szCs w:val="20"/>
                <w:highlight w:val="none"/>
              </w:rPr>
            </w:pPr>
          </w:p>
        </w:tc>
        <w:tc>
          <w:tcPr>
            <w:tcW w:w="66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b/>
                <w:bCs/>
                <w:color w:val="auto"/>
                <w:sz w:val="20"/>
                <w:szCs w:val="20"/>
                <w:highlight w:val="none"/>
              </w:rPr>
            </w:pPr>
          </w:p>
        </w:tc>
      </w:tr>
      <w:tr>
        <w:tblPrEx>
          <w:tblCellMar>
            <w:top w:w="0" w:type="dxa"/>
            <w:left w:w="108" w:type="dxa"/>
            <w:bottom w:w="0" w:type="dxa"/>
            <w:right w:w="108" w:type="dxa"/>
          </w:tblCellMar>
        </w:tblPrEx>
        <w:trPr>
          <w:trHeight w:val="498" w:hRule="atLeast"/>
        </w:trPr>
        <w:tc>
          <w:tcPr>
            <w:tcW w:w="46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bCs/>
                <w:color w:val="auto"/>
                <w:sz w:val="20"/>
                <w:szCs w:val="20"/>
                <w:highlight w:val="none"/>
              </w:rPr>
            </w:pPr>
            <w:r>
              <w:rPr>
                <w:rFonts w:hint="eastAsia" w:ascii="宋体" w:hAnsi="宋体" w:cs="宋体"/>
                <w:b/>
                <w:bCs/>
                <w:color w:val="auto"/>
                <w:sz w:val="20"/>
                <w:szCs w:val="20"/>
                <w:highlight w:val="none"/>
                <w:lang w:bidi="ar"/>
              </w:rPr>
              <w:t>一</w:t>
            </w:r>
          </w:p>
        </w:tc>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b/>
                <w:bCs/>
                <w:color w:val="auto"/>
                <w:sz w:val="20"/>
                <w:szCs w:val="20"/>
                <w:highlight w:val="none"/>
              </w:rPr>
            </w:pPr>
            <w:r>
              <w:rPr>
                <w:rFonts w:hint="eastAsia" w:ascii="宋体" w:hAnsi="宋体" w:cs="宋体"/>
                <w:b/>
                <w:bCs/>
                <w:color w:val="auto"/>
                <w:sz w:val="20"/>
                <w:szCs w:val="20"/>
                <w:highlight w:val="none"/>
                <w:lang w:bidi="ar"/>
              </w:rPr>
              <w:t>洁具</w:t>
            </w:r>
          </w:p>
        </w:tc>
        <w:tc>
          <w:tcPr>
            <w:tcW w:w="447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b/>
                <w:bCs/>
                <w:color w:val="auto"/>
                <w:sz w:val="20"/>
                <w:szCs w:val="20"/>
                <w:highlight w:val="none"/>
              </w:rPr>
            </w:pPr>
          </w:p>
        </w:tc>
        <w:tc>
          <w:tcPr>
            <w:tcW w:w="114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b/>
                <w:bCs/>
                <w:color w:val="auto"/>
                <w:sz w:val="20"/>
                <w:szCs w:val="20"/>
                <w:highlight w:val="none"/>
              </w:rPr>
            </w:pP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bCs/>
                <w:color w:val="auto"/>
                <w:sz w:val="20"/>
                <w:szCs w:val="20"/>
                <w:highlight w:val="none"/>
              </w:rPr>
            </w:pP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 w:val="20"/>
                <w:szCs w:val="20"/>
                <w:highlight w:val="none"/>
              </w:rPr>
            </w:pPr>
          </w:p>
        </w:tc>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880" w:hRule="atLeast"/>
        </w:trPr>
        <w:tc>
          <w:tcPr>
            <w:tcW w:w="4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w:t>
            </w:r>
          </w:p>
        </w:tc>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拖把池</w:t>
            </w:r>
          </w:p>
        </w:tc>
        <w:tc>
          <w:tcPr>
            <w:tcW w:w="447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含龙头及一切附件，配件采用节水型</w:t>
            </w:r>
          </w:p>
        </w:tc>
        <w:tc>
          <w:tcPr>
            <w:tcW w:w="11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东鹏（广东）、箭牌卫浴、九牧</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68"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880" w:hRule="atLeast"/>
        </w:trPr>
        <w:tc>
          <w:tcPr>
            <w:tcW w:w="4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w:t>
            </w:r>
          </w:p>
        </w:tc>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台盆柜式洗脸盆</w:t>
            </w:r>
          </w:p>
        </w:tc>
        <w:tc>
          <w:tcPr>
            <w:tcW w:w="447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含感应水龙头及一切附件，配件采用节水型</w:t>
            </w:r>
          </w:p>
        </w:tc>
        <w:tc>
          <w:tcPr>
            <w:tcW w:w="11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东鹏（广东）、箭牌卫浴、九牧</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30.00 </w:t>
            </w:r>
          </w:p>
        </w:tc>
        <w:tc>
          <w:tcPr>
            <w:tcW w:w="668"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880" w:hRule="atLeast"/>
        </w:trPr>
        <w:tc>
          <w:tcPr>
            <w:tcW w:w="4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3</w:t>
            </w:r>
          </w:p>
        </w:tc>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立式洗脸盆</w:t>
            </w:r>
          </w:p>
        </w:tc>
        <w:tc>
          <w:tcPr>
            <w:tcW w:w="447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含感应水龙头及一切附件，配件采用节水型</w:t>
            </w:r>
          </w:p>
        </w:tc>
        <w:tc>
          <w:tcPr>
            <w:tcW w:w="11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东鹏（广东）、箭牌卫浴、九牧</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25.00 </w:t>
            </w:r>
          </w:p>
        </w:tc>
        <w:tc>
          <w:tcPr>
            <w:tcW w:w="668"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880" w:hRule="atLeast"/>
        </w:trPr>
        <w:tc>
          <w:tcPr>
            <w:tcW w:w="4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4</w:t>
            </w:r>
          </w:p>
        </w:tc>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实验室台盆</w:t>
            </w:r>
          </w:p>
        </w:tc>
        <w:tc>
          <w:tcPr>
            <w:tcW w:w="447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含三联水龙头及一切附件，配件采用节水型</w:t>
            </w:r>
          </w:p>
        </w:tc>
        <w:tc>
          <w:tcPr>
            <w:tcW w:w="11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东鹏（广东）、箭牌卫浴、九牧</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2.00 </w:t>
            </w:r>
          </w:p>
        </w:tc>
        <w:tc>
          <w:tcPr>
            <w:tcW w:w="668"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880" w:hRule="atLeast"/>
        </w:trPr>
        <w:tc>
          <w:tcPr>
            <w:tcW w:w="4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5</w:t>
            </w:r>
          </w:p>
        </w:tc>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倒污池</w:t>
            </w:r>
          </w:p>
        </w:tc>
        <w:tc>
          <w:tcPr>
            <w:tcW w:w="447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含龙头及一切附件，配件采用节水型</w:t>
            </w:r>
          </w:p>
        </w:tc>
        <w:tc>
          <w:tcPr>
            <w:tcW w:w="11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东鹏（广东）、箭牌卫浴、九牧</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68"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880" w:hRule="atLeast"/>
        </w:trPr>
        <w:tc>
          <w:tcPr>
            <w:tcW w:w="4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6</w:t>
            </w:r>
          </w:p>
        </w:tc>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蹲便器</w:t>
            </w:r>
          </w:p>
        </w:tc>
        <w:tc>
          <w:tcPr>
            <w:tcW w:w="447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含脚踏阀及一切附件，配件采用节水型</w:t>
            </w:r>
          </w:p>
        </w:tc>
        <w:tc>
          <w:tcPr>
            <w:tcW w:w="11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东鹏（广东）、箭牌卫浴、九牧</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68"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880" w:hRule="atLeast"/>
        </w:trPr>
        <w:tc>
          <w:tcPr>
            <w:tcW w:w="4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7</w:t>
            </w:r>
          </w:p>
        </w:tc>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坐便器</w:t>
            </w:r>
          </w:p>
        </w:tc>
        <w:tc>
          <w:tcPr>
            <w:tcW w:w="447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一体式，含一切附件，配件采用节水型</w:t>
            </w:r>
          </w:p>
        </w:tc>
        <w:tc>
          <w:tcPr>
            <w:tcW w:w="11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东鹏（广东）、箭牌卫浴、九牧</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68"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750" w:hRule="atLeast"/>
        </w:trPr>
        <w:tc>
          <w:tcPr>
            <w:tcW w:w="4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8</w:t>
            </w:r>
          </w:p>
        </w:tc>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不锈钢污洗池</w:t>
            </w:r>
          </w:p>
        </w:tc>
        <w:tc>
          <w:tcPr>
            <w:tcW w:w="447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一人位，含不锈钢台面、龙头及一切附件，配件采用节水型</w:t>
            </w:r>
          </w:p>
        </w:tc>
        <w:tc>
          <w:tcPr>
            <w:tcW w:w="11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3.00 </w:t>
            </w:r>
          </w:p>
        </w:tc>
        <w:tc>
          <w:tcPr>
            <w:tcW w:w="668"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212" w:hRule="atLeast"/>
        </w:trPr>
        <w:tc>
          <w:tcPr>
            <w:tcW w:w="4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9</w:t>
            </w:r>
          </w:p>
        </w:tc>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不锈钢洗手池</w:t>
            </w:r>
          </w:p>
        </w:tc>
        <w:tc>
          <w:tcPr>
            <w:tcW w:w="447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三人位，含洗手、消毒、干洗设备，可调节冷热水温的感应龙头和给皂器及一切附件，配件采用节水型</w:t>
            </w:r>
          </w:p>
        </w:tc>
        <w:tc>
          <w:tcPr>
            <w:tcW w:w="11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铭炫、浩东、智迪锐</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11.00 </w:t>
            </w:r>
          </w:p>
        </w:tc>
        <w:tc>
          <w:tcPr>
            <w:tcW w:w="66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498" w:hRule="atLeast"/>
        </w:trPr>
        <w:tc>
          <w:tcPr>
            <w:tcW w:w="46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bCs/>
                <w:color w:val="auto"/>
                <w:sz w:val="20"/>
                <w:szCs w:val="20"/>
                <w:highlight w:val="none"/>
              </w:rPr>
            </w:pPr>
            <w:r>
              <w:rPr>
                <w:rFonts w:hint="eastAsia" w:ascii="宋体" w:hAnsi="宋体" w:cs="宋体"/>
                <w:b/>
                <w:bCs/>
                <w:color w:val="auto"/>
                <w:sz w:val="20"/>
                <w:szCs w:val="20"/>
                <w:highlight w:val="none"/>
                <w:lang w:bidi="ar"/>
              </w:rPr>
              <w:t>二</w:t>
            </w:r>
          </w:p>
        </w:tc>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b/>
                <w:bCs/>
                <w:color w:val="auto"/>
                <w:sz w:val="20"/>
                <w:szCs w:val="20"/>
                <w:highlight w:val="none"/>
              </w:rPr>
            </w:pPr>
            <w:r>
              <w:rPr>
                <w:rFonts w:hint="eastAsia" w:ascii="宋体" w:hAnsi="宋体" w:cs="宋体"/>
                <w:b/>
                <w:bCs/>
                <w:color w:val="auto"/>
                <w:sz w:val="20"/>
                <w:szCs w:val="20"/>
                <w:highlight w:val="none"/>
                <w:lang w:bidi="ar"/>
              </w:rPr>
              <w:t>管道</w:t>
            </w:r>
          </w:p>
        </w:tc>
        <w:tc>
          <w:tcPr>
            <w:tcW w:w="447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color w:val="auto"/>
                <w:sz w:val="20"/>
                <w:szCs w:val="20"/>
                <w:highlight w:val="none"/>
              </w:rPr>
            </w:pPr>
          </w:p>
        </w:tc>
        <w:tc>
          <w:tcPr>
            <w:tcW w:w="114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color w:val="auto"/>
                <w:sz w:val="20"/>
                <w:szCs w:val="20"/>
                <w:highlight w:val="none"/>
              </w:rPr>
            </w:pP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 w:val="20"/>
                <w:szCs w:val="20"/>
                <w:highlight w:val="none"/>
              </w:rPr>
            </w:pP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 w:val="20"/>
                <w:szCs w:val="20"/>
                <w:highlight w:val="none"/>
              </w:rPr>
            </w:pPr>
          </w:p>
        </w:tc>
        <w:tc>
          <w:tcPr>
            <w:tcW w:w="668"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567" w:hRule="atLeast"/>
        </w:trPr>
        <w:tc>
          <w:tcPr>
            <w:tcW w:w="4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w:t>
            </w:r>
          </w:p>
        </w:tc>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薄壁不锈钢管</w:t>
            </w:r>
          </w:p>
        </w:tc>
        <w:tc>
          <w:tcPr>
            <w:tcW w:w="447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22.2*1.0；焊接，含管件、刷色环、套管及其所有封堵等一切内容</w:t>
            </w:r>
          </w:p>
        </w:tc>
        <w:tc>
          <w:tcPr>
            <w:tcW w:w="11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m</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222.81 </w:t>
            </w:r>
          </w:p>
        </w:tc>
        <w:tc>
          <w:tcPr>
            <w:tcW w:w="668"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567" w:hRule="atLeast"/>
        </w:trPr>
        <w:tc>
          <w:tcPr>
            <w:tcW w:w="4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w:t>
            </w:r>
          </w:p>
        </w:tc>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薄壁不锈钢管</w:t>
            </w:r>
          </w:p>
        </w:tc>
        <w:tc>
          <w:tcPr>
            <w:tcW w:w="447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28.6*1.0；焊接，含管件、刷色环、套管及其所有封堵等一切内容</w:t>
            </w:r>
          </w:p>
        </w:tc>
        <w:tc>
          <w:tcPr>
            <w:tcW w:w="11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m</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57.63 </w:t>
            </w:r>
          </w:p>
        </w:tc>
        <w:tc>
          <w:tcPr>
            <w:tcW w:w="668"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567" w:hRule="atLeast"/>
        </w:trPr>
        <w:tc>
          <w:tcPr>
            <w:tcW w:w="4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3</w:t>
            </w:r>
          </w:p>
        </w:tc>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薄壁不锈钢管</w:t>
            </w:r>
          </w:p>
        </w:tc>
        <w:tc>
          <w:tcPr>
            <w:tcW w:w="447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34*1.2；焊接，含管件、刷色环、套管及其所有封堵等一切内容</w:t>
            </w:r>
          </w:p>
        </w:tc>
        <w:tc>
          <w:tcPr>
            <w:tcW w:w="11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m</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16.31 </w:t>
            </w:r>
          </w:p>
        </w:tc>
        <w:tc>
          <w:tcPr>
            <w:tcW w:w="668"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567" w:hRule="atLeast"/>
        </w:trPr>
        <w:tc>
          <w:tcPr>
            <w:tcW w:w="4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4</w:t>
            </w:r>
          </w:p>
        </w:tc>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薄壁不锈钢管</w:t>
            </w:r>
          </w:p>
        </w:tc>
        <w:tc>
          <w:tcPr>
            <w:tcW w:w="447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42.7*1.2；焊接，含管件、刷色环、套管及其所有封堵等一切内容</w:t>
            </w:r>
          </w:p>
        </w:tc>
        <w:tc>
          <w:tcPr>
            <w:tcW w:w="11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m</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29.90 </w:t>
            </w:r>
          </w:p>
        </w:tc>
        <w:tc>
          <w:tcPr>
            <w:tcW w:w="668"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567" w:hRule="atLeast"/>
        </w:trPr>
        <w:tc>
          <w:tcPr>
            <w:tcW w:w="4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5</w:t>
            </w:r>
          </w:p>
        </w:tc>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薄壁不锈钢管</w:t>
            </w:r>
          </w:p>
        </w:tc>
        <w:tc>
          <w:tcPr>
            <w:tcW w:w="447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48.6*1.2；焊接，含管件、刷色环、套管及其所有封堵等一切内容</w:t>
            </w:r>
          </w:p>
        </w:tc>
        <w:tc>
          <w:tcPr>
            <w:tcW w:w="11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m</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241.90 </w:t>
            </w:r>
          </w:p>
        </w:tc>
        <w:tc>
          <w:tcPr>
            <w:tcW w:w="668"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567" w:hRule="atLeast"/>
        </w:trPr>
        <w:tc>
          <w:tcPr>
            <w:tcW w:w="4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6</w:t>
            </w:r>
          </w:p>
        </w:tc>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薄壁不锈钢管</w:t>
            </w:r>
          </w:p>
        </w:tc>
        <w:tc>
          <w:tcPr>
            <w:tcW w:w="447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76.1*2.0；焊接，含管件、刷色环、套管及其所有封堵等一切内容</w:t>
            </w:r>
          </w:p>
        </w:tc>
        <w:tc>
          <w:tcPr>
            <w:tcW w:w="11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m</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43.44 </w:t>
            </w:r>
          </w:p>
        </w:tc>
        <w:tc>
          <w:tcPr>
            <w:tcW w:w="668"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567" w:hRule="atLeast"/>
        </w:trPr>
        <w:tc>
          <w:tcPr>
            <w:tcW w:w="4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7</w:t>
            </w:r>
          </w:p>
        </w:tc>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覆膜不锈钢管</w:t>
            </w:r>
          </w:p>
        </w:tc>
        <w:tc>
          <w:tcPr>
            <w:tcW w:w="447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22.2*1.0；焊接，含管件、刷色环、套管及其所有封堵等一切内容</w:t>
            </w:r>
          </w:p>
        </w:tc>
        <w:tc>
          <w:tcPr>
            <w:tcW w:w="11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m</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186.40 </w:t>
            </w:r>
          </w:p>
        </w:tc>
        <w:tc>
          <w:tcPr>
            <w:tcW w:w="668"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567" w:hRule="atLeast"/>
        </w:trPr>
        <w:tc>
          <w:tcPr>
            <w:tcW w:w="4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8</w:t>
            </w:r>
          </w:p>
        </w:tc>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覆膜不锈钢管</w:t>
            </w:r>
          </w:p>
        </w:tc>
        <w:tc>
          <w:tcPr>
            <w:tcW w:w="447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34*1.2；焊接，含管件、刷色环、套管及其所有封堵等一切内容等</w:t>
            </w:r>
          </w:p>
        </w:tc>
        <w:tc>
          <w:tcPr>
            <w:tcW w:w="11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m</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2.70 </w:t>
            </w:r>
          </w:p>
        </w:tc>
        <w:tc>
          <w:tcPr>
            <w:tcW w:w="668"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567" w:hRule="atLeast"/>
        </w:trPr>
        <w:tc>
          <w:tcPr>
            <w:tcW w:w="4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9</w:t>
            </w:r>
          </w:p>
        </w:tc>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304L不锈钢管</w:t>
            </w:r>
          </w:p>
        </w:tc>
        <w:tc>
          <w:tcPr>
            <w:tcW w:w="447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DN20；焊接，含管件、刷色环、套管及其所有封堵等一切内容</w:t>
            </w:r>
          </w:p>
        </w:tc>
        <w:tc>
          <w:tcPr>
            <w:tcW w:w="11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m</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175.80 </w:t>
            </w:r>
          </w:p>
        </w:tc>
        <w:tc>
          <w:tcPr>
            <w:tcW w:w="668"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567" w:hRule="atLeast"/>
        </w:trPr>
        <w:tc>
          <w:tcPr>
            <w:tcW w:w="4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10</w:t>
            </w:r>
          </w:p>
        </w:tc>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304L不锈钢管</w:t>
            </w:r>
          </w:p>
        </w:tc>
        <w:tc>
          <w:tcPr>
            <w:tcW w:w="447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DN25；焊接，含管件、刷色环、套管及其所有封堵等一切内容</w:t>
            </w:r>
          </w:p>
        </w:tc>
        <w:tc>
          <w:tcPr>
            <w:tcW w:w="11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m</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15.46 </w:t>
            </w:r>
          </w:p>
        </w:tc>
        <w:tc>
          <w:tcPr>
            <w:tcW w:w="668"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567" w:hRule="atLeast"/>
        </w:trPr>
        <w:tc>
          <w:tcPr>
            <w:tcW w:w="4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11</w:t>
            </w:r>
          </w:p>
        </w:tc>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304L不锈钢管</w:t>
            </w:r>
          </w:p>
        </w:tc>
        <w:tc>
          <w:tcPr>
            <w:tcW w:w="447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DN32；焊接，含管件、刷色环、套管及其所有封堵等一切内容</w:t>
            </w:r>
          </w:p>
        </w:tc>
        <w:tc>
          <w:tcPr>
            <w:tcW w:w="11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m</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26.30 </w:t>
            </w:r>
          </w:p>
        </w:tc>
        <w:tc>
          <w:tcPr>
            <w:tcW w:w="668"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567" w:hRule="atLeast"/>
        </w:trPr>
        <w:tc>
          <w:tcPr>
            <w:tcW w:w="4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12</w:t>
            </w:r>
          </w:p>
        </w:tc>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304L不锈钢管</w:t>
            </w:r>
          </w:p>
        </w:tc>
        <w:tc>
          <w:tcPr>
            <w:tcW w:w="447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DN40；焊接，含管件、刷色环、套管及其所有封堵等一切内容</w:t>
            </w:r>
          </w:p>
        </w:tc>
        <w:tc>
          <w:tcPr>
            <w:tcW w:w="11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m</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33.10 </w:t>
            </w:r>
          </w:p>
        </w:tc>
        <w:tc>
          <w:tcPr>
            <w:tcW w:w="668"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567" w:hRule="atLeast"/>
        </w:trPr>
        <w:tc>
          <w:tcPr>
            <w:tcW w:w="4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13</w:t>
            </w:r>
          </w:p>
        </w:tc>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304L不锈钢管</w:t>
            </w:r>
          </w:p>
        </w:tc>
        <w:tc>
          <w:tcPr>
            <w:tcW w:w="447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DN50；焊接，含管件、刷色环、套管及其所有封堵等一切内容</w:t>
            </w:r>
          </w:p>
        </w:tc>
        <w:tc>
          <w:tcPr>
            <w:tcW w:w="11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m</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190.99 </w:t>
            </w:r>
          </w:p>
        </w:tc>
        <w:tc>
          <w:tcPr>
            <w:tcW w:w="668"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567" w:hRule="atLeast"/>
        </w:trPr>
        <w:tc>
          <w:tcPr>
            <w:tcW w:w="4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14</w:t>
            </w:r>
          </w:p>
        </w:tc>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304L不锈钢管</w:t>
            </w:r>
          </w:p>
        </w:tc>
        <w:tc>
          <w:tcPr>
            <w:tcW w:w="447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DN65；焊接，含管件、刷色环、套管及其所有封堵等一切内容</w:t>
            </w:r>
          </w:p>
        </w:tc>
        <w:tc>
          <w:tcPr>
            <w:tcW w:w="11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m</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18.05 </w:t>
            </w:r>
          </w:p>
        </w:tc>
        <w:tc>
          <w:tcPr>
            <w:tcW w:w="668"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567" w:hRule="atLeast"/>
        </w:trPr>
        <w:tc>
          <w:tcPr>
            <w:tcW w:w="4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15</w:t>
            </w:r>
          </w:p>
        </w:tc>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304L不锈钢管</w:t>
            </w:r>
          </w:p>
        </w:tc>
        <w:tc>
          <w:tcPr>
            <w:tcW w:w="447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DN80；焊接，含管件、刷色环、套管及其所有封堵等一切内容</w:t>
            </w:r>
          </w:p>
        </w:tc>
        <w:tc>
          <w:tcPr>
            <w:tcW w:w="11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m</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29.43 </w:t>
            </w:r>
          </w:p>
        </w:tc>
        <w:tc>
          <w:tcPr>
            <w:tcW w:w="668"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567" w:hRule="atLeast"/>
        </w:trPr>
        <w:tc>
          <w:tcPr>
            <w:tcW w:w="4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16</w:t>
            </w:r>
          </w:p>
        </w:tc>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柔性铸铁管</w:t>
            </w:r>
          </w:p>
        </w:tc>
        <w:tc>
          <w:tcPr>
            <w:tcW w:w="447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DN50*3.5；不锈钢卡箍连接，含管件、刷色环、套管及其所有封堵等一切内容</w:t>
            </w:r>
          </w:p>
        </w:tc>
        <w:tc>
          <w:tcPr>
            <w:tcW w:w="11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m</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63.22 </w:t>
            </w:r>
          </w:p>
        </w:tc>
        <w:tc>
          <w:tcPr>
            <w:tcW w:w="668"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567" w:hRule="atLeast"/>
        </w:trPr>
        <w:tc>
          <w:tcPr>
            <w:tcW w:w="4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17</w:t>
            </w:r>
          </w:p>
        </w:tc>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柔性铸铁管</w:t>
            </w:r>
          </w:p>
        </w:tc>
        <w:tc>
          <w:tcPr>
            <w:tcW w:w="447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DN75*3.5；不锈钢卡箍连接，含管件、刷色环、套管及其所有封堵等一切内容</w:t>
            </w:r>
          </w:p>
        </w:tc>
        <w:tc>
          <w:tcPr>
            <w:tcW w:w="11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m</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173.74 </w:t>
            </w:r>
          </w:p>
        </w:tc>
        <w:tc>
          <w:tcPr>
            <w:tcW w:w="668"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567" w:hRule="atLeast"/>
        </w:trPr>
        <w:tc>
          <w:tcPr>
            <w:tcW w:w="4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18</w:t>
            </w:r>
          </w:p>
        </w:tc>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柔性铸铁管</w:t>
            </w:r>
          </w:p>
        </w:tc>
        <w:tc>
          <w:tcPr>
            <w:tcW w:w="447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DN100*3.5；不锈钢卡箍连接，含管件、刷色环、套管及其所有封堵等一切内容</w:t>
            </w:r>
          </w:p>
        </w:tc>
        <w:tc>
          <w:tcPr>
            <w:tcW w:w="11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m</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174.38 </w:t>
            </w:r>
          </w:p>
        </w:tc>
        <w:tc>
          <w:tcPr>
            <w:tcW w:w="668"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567" w:hRule="atLeast"/>
        </w:trPr>
        <w:tc>
          <w:tcPr>
            <w:tcW w:w="4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19</w:t>
            </w:r>
          </w:p>
        </w:tc>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柔性铸铁管</w:t>
            </w:r>
          </w:p>
        </w:tc>
        <w:tc>
          <w:tcPr>
            <w:tcW w:w="447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DN150*4.0；不锈钢卡箍连接，含管件、刷色环、套管及其所有封堵等一切内容</w:t>
            </w:r>
          </w:p>
        </w:tc>
        <w:tc>
          <w:tcPr>
            <w:tcW w:w="11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m</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16.40 </w:t>
            </w:r>
          </w:p>
        </w:tc>
        <w:tc>
          <w:tcPr>
            <w:tcW w:w="668"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567" w:hRule="atLeast"/>
        </w:trPr>
        <w:tc>
          <w:tcPr>
            <w:tcW w:w="4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20</w:t>
            </w:r>
          </w:p>
        </w:tc>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PVC-U管</w:t>
            </w:r>
          </w:p>
        </w:tc>
        <w:tc>
          <w:tcPr>
            <w:tcW w:w="447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DN75*2.3，含管件、刷色环、套管及其所有封堵等一切内容</w:t>
            </w:r>
          </w:p>
        </w:tc>
        <w:tc>
          <w:tcPr>
            <w:tcW w:w="11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m</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32.22 </w:t>
            </w:r>
          </w:p>
        </w:tc>
        <w:tc>
          <w:tcPr>
            <w:tcW w:w="668"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567" w:hRule="atLeast"/>
        </w:trPr>
        <w:tc>
          <w:tcPr>
            <w:tcW w:w="4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21</w:t>
            </w:r>
          </w:p>
        </w:tc>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PVC-U管</w:t>
            </w:r>
          </w:p>
        </w:tc>
        <w:tc>
          <w:tcPr>
            <w:tcW w:w="447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DN100*3.2，含管件、刷色环、套管及其所有封堵等一切内容</w:t>
            </w:r>
          </w:p>
        </w:tc>
        <w:tc>
          <w:tcPr>
            <w:tcW w:w="11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m</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35.03 </w:t>
            </w:r>
          </w:p>
        </w:tc>
        <w:tc>
          <w:tcPr>
            <w:tcW w:w="668"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567" w:hRule="atLeast"/>
        </w:trPr>
        <w:tc>
          <w:tcPr>
            <w:tcW w:w="4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22</w:t>
            </w:r>
          </w:p>
        </w:tc>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无缝钢管</w:t>
            </w:r>
          </w:p>
        </w:tc>
        <w:tc>
          <w:tcPr>
            <w:tcW w:w="447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32*3.5；焊接，含管件、刷色环、套管及其所有封堵等一切内容</w:t>
            </w:r>
          </w:p>
        </w:tc>
        <w:tc>
          <w:tcPr>
            <w:tcW w:w="11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m</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29.04 </w:t>
            </w:r>
          </w:p>
        </w:tc>
        <w:tc>
          <w:tcPr>
            <w:tcW w:w="668"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567" w:hRule="atLeast"/>
        </w:trPr>
        <w:tc>
          <w:tcPr>
            <w:tcW w:w="4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23</w:t>
            </w:r>
          </w:p>
        </w:tc>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无缝钢管</w:t>
            </w:r>
          </w:p>
        </w:tc>
        <w:tc>
          <w:tcPr>
            <w:tcW w:w="447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38*3.5；焊接，含管件、刷色环、套管及其所有封堵等一切内容</w:t>
            </w:r>
          </w:p>
        </w:tc>
        <w:tc>
          <w:tcPr>
            <w:tcW w:w="11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m</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40.35 </w:t>
            </w:r>
          </w:p>
        </w:tc>
        <w:tc>
          <w:tcPr>
            <w:tcW w:w="668"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567" w:hRule="atLeast"/>
        </w:trPr>
        <w:tc>
          <w:tcPr>
            <w:tcW w:w="4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24</w:t>
            </w:r>
          </w:p>
        </w:tc>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无缝钢管</w:t>
            </w:r>
          </w:p>
        </w:tc>
        <w:tc>
          <w:tcPr>
            <w:tcW w:w="447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57*3.5；焊接，含管件、刷色环、套管及其所有封堵等一切内容</w:t>
            </w:r>
          </w:p>
        </w:tc>
        <w:tc>
          <w:tcPr>
            <w:tcW w:w="11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m</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9.21 </w:t>
            </w:r>
          </w:p>
        </w:tc>
        <w:tc>
          <w:tcPr>
            <w:tcW w:w="668"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567" w:hRule="atLeast"/>
        </w:trPr>
        <w:tc>
          <w:tcPr>
            <w:tcW w:w="4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25</w:t>
            </w:r>
          </w:p>
        </w:tc>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无缝钢管</w:t>
            </w:r>
          </w:p>
        </w:tc>
        <w:tc>
          <w:tcPr>
            <w:tcW w:w="447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89*4.0；焊接，含管件、刷色环、套管及其所有封堵等一切内容</w:t>
            </w:r>
          </w:p>
        </w:tc>
        <w:tc>
          <w:tcPr>
            <w:tcW w:w="11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m</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1.99 </w:t>
            </w:r>
          </w:p>
        </w:tc>
        <w:tc>
          <w:tcPr>
            <w:tcW w:w="668"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567" w:hRule="atLeast"/>
        </w:trPr>
        <w:tc>
          <w:tcPr>
            <w:tcW w:w="4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26</w:t>
            </w:r>
          </w:p>
        </w:tc>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无缝钢管</w:t>
            </w:r>
          </w:p>
        </w:tc>
        <w:tc>
          <w:tcPr>
            <w:tcW w:w="447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108*4；焊接，含管件、刷色环、套管及其所有封堵等一切内容</w:t>
            </w:r>
          </w:p>
        </w:tc>
        <w:tc>
          <w:tcPr>
            <w:tcW w:w="11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m</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18.23 </w:t>
            </w:r>
          </w:p>
        </w:tc>
        <w:tc>
          <w:tcPr>
            <w:tcW w:w="668"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567" w:hRule="atLeast"/>
        </w:trPr>
        <w:tc>
          <w:tcPr>
            <w:tcW w:w="4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27</w:t>
            </w:r>
          </w:p>
        </w:tc>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无缝钢管</w:t>
            </w:r>
          </w:p>
        </w:tc>
        <w:tc>
          <w:tcPr>
            <w:tcW w:w="447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DN150;焊接，含管件、刷色环、套管及其所有封堵等一切内容</w:t>
            </w:r>
          </w:p>
        </w:tc>
        <w:tc>
          <w:tcPr>
            <w:tcW w:w="11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m</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12.60 </w:t>
            </w:r>
          </w:p>
        </w:tc>
        <w:tc>
          <w:tcPr>
            <w:tcW w:w="668"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567" w:hRule="atLeast"/>
        </w:trPr>
        <w:tc>
          <w:tcPr>
            <w:tcW w:w="4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28</w:t>
            </w:r>
          </w:p>
        </w:tc>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无缝钢管</w:t>
            </w:r>
          </w:p>
        </w:tc>
        <w:tc>
          <w:tcPr>
            <w:tcW w:w="447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DN200;焊接，含管件、刷色环、套管及其所有封堵等一切内容</w:t>
            </w:r>
          </w:p>
        </w:tc>
        <w:tc>
          <w:tcPr>
            <w:tcW w:w="11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m</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28.73 </w:t>
            </w:r>
          </w:p>
        </w:tc>
        <w:tc>
          <w:tcPr>
            <w:tcW w:w="668"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567" w:hRule="atLeast"/>
        </w:trPr>
        <w:tc>
          <w:tcPr>
            <w:tcW w:w="4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29</w:t>
            </w:r>
          </w:p>
        </w:tc>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橡塑保温棉</w:t>
            </w:r>
          </w:p>
        </w:tc>
        <w:tc>
          <w:tcPr>
            <w:tcW w:w="447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综合厚度，外壳刷防火漆</w:t>
            </w:r>
          </w:p>
        </w:tc>
        <w:tc>
          <w:tcPr>
            <w:tcW w:w="11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m3</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3.19 </w:t>
            </w:r>
          </w:p>
        </w:tc>
        <w:tc>
          <w:tcPr>
            <w:tcW w:w="668"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567" w:hRule="atLeast"/>
        </w:trPr>
        <w:tc>
          <w:tcPr>
            <w:tcW w:w="4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30</w:t>
            </w:r>
          </w:p>
        </w:tc>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岩棉保温</w:t>
            </w:r>
          </w:p>
        </w:tc>
        <w:tc>
          <w:tcPr>
            <w:tcW w:w="447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综合厚度，外壳刷防火漆</w:t>
            </w:r>
          </w:p>
        </w:tc>
        <w:tc>
          <w:tcPr>
            <w:tcW w:w="11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m3</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2.20 </w:t>
            </w:r>
          </w:p>
        </w:tc>
        <w:tc>
          <w:tcPr>
            <w:tcW w:w="668"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567" w:hRule="atLeast"/>
        </w:trPr>
        <w:tc>
          <w:tcPr>
            <w:tcW w:w="4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31</w:t>
            </w:r>
          </w:p>
        </w:tc>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管道支吊架</w:t>
            </w:r>
          </w:p>
        </w:tc>
        <w:tc>
          <w:tcPr>
            <w:tcW w:w="447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1.材质：热浸锌吊支架</w:t>
            </w:r>
          </w:p>
        </w:tc>
        <w:tc>
          <w:tcPr>
            <w:tcW w:w="114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 w:val="20"/>
                <w:szCs w:val="20"/>
                <w:highlight w:val="none"/>
              </w:rPr>
            </w:pP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Kg</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1374.37 </w:t>
            </w:r>
          </w:p>
        </w:tc>
        <w:tc>
          <w:tcPr>
            <w:tcW w:w="668"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498" w:hRule="atLeast"/>
        </w:trPr>
        <w:tc>
          <w:tcPr>
            <w:tcW w:w="46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bCs/>
                <w:color w:val="auto"/>
                <w:sz w:val="20"/>
                <w:szCs w:val="20"/>
                <w:highlight w:val="none"/>
              </w:rPr>
            </w:pPr>
            <w:r>
              <w:rPr>
                <w:rFonts w:hint="eastAsia" w:ascii="宋体" w:hAnsi="宋体" w:cs="宋体"/>
                <w:b/>
                <w:bCs/>
                <w:color w:val="auto"/>
                <w:sz w:val="20"/>
                <w:szCs w:val="20"/>
                <w:highlight w:val="none"/>
                <w:lang w:bidi="ar"/>
              </w:rPr>
              <w:t>三</w:t>
            </w:r>
          </w:p>
        </w:tc>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b/>
                <w:bCs/>
                <w:color w:val="auto"/>
                <w:sz w:val="20"/>
                <w:szCs w:val="20"/>
                <w:highlight w:val="none"/>
              </w:rPr>
            </w:pPr>
            <w:r>
              <w:rPr>
                <w:rFonts w:hint="eastAsia" w:ascii="宋体" w:hAnsi="宋体" w:cs="宋体"/>
                <w:b/>
                <w:bCs/>
                <w:color w:val="auto"/>
                <w:sz w:val="20"/>
                <w:szCs w:val="20"/>
                <w:highlight w:val="none"/>
                <w:lang w:bidi="ar"/>
              </w:rPr>
              <w:t>阀门</w:t>
            </w:r>
          </w:p>
        </w:tc>
        <w:tc>
          <w:tcPr>
            <w:tcW w:w="447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color w:val="auto"/>
                <w:sz w:val="20"/>
                <w:szCs w:val="20"/>
                <w:highlight w:val="none"/>
              </w:rPr>
            </w:pPr>
          </w:p>
        </w:tc>
        <w:tc>
          <w:tcPr>
            <w:tcW w:w="114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color w:val="auto"/>
                <w:sz w:val="20"/>
                <w:szCs w:val="20"/>
                <w:highlight w:val="none"/>
              </w:rPr>
            </w:pP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 w:val="20"/>
                <w:szCs w:val="20"/>
                <w:highlight w:val="none"/>
              </w:rPr>
            </w:pP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 w:val="20"/>
                <w:szCs w:val="20"/>
                <w:highlight w:val="none"/>
              </w:rPr>
            </w:pPr>
          </w:p>
        </w:tc>
        <w:tc>
          <w:tcPr>
            <w:tcW w:w="668"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498" w:hRule="atLeast"/>
        </w:trPr>
        <w:tc>
          <w:tcPr>
            <w:tcW w:w="4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w:t>
            </w:r>
          </w:p>
        </w:tc>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铜截止阀</w:t>
            </w:r>
          </w:p>
        </w:tc>
        <w:tc>
          <w:tcPr>
            <w:tcW w:w="447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DN20</w:t>
            </w:r>
          </w:p>
        </w:tc>
        <w:tc>
          <w:tcPr>
            <w:tcW w:w="11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100.00 </w:t>
            </w:r>
          </w:p>
        </w:tc>
        <w:tc>
          <w:tcPr>
            <w:tcW w:w="668"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498" w:hRule="atLeast"/>
        </w:trPr>
        <w:tc>
          <w:tcPr>
            <w:tcW w:w="4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w:t>
            </w:r>
          </w:p>
        </w:tc>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铜截止阀</w:t>
            </w:r>
          </w:p>
        </w:tc>
        <w:tc>
          <w:tcPr>
            <w:tcW w:w="447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DN25</w:t>
            </w:r>
          </w:p>
        </w:tc>
        <w:tc>
          <w:tcPr>
            <w:tcW w:w="11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6.00 </w:t>
            </w:r>
          </w:p>
        </w:tc>
        <w:tc>
          <w:tcPr>
            <w:tcW w:w="668"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498" w:hRule="atLeast"/>
        </w:trPr>
        <w:tc>
          <w:tcPr>
            <w:tcW w:w="4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3</w:t>
            </w:r>
          </w:p>
        </w:tc>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铜截止阀</w:t>
            </w:r>
          </w:p>
        </w:tc>
        <w:tc>
          <w:tcPr>
            <w:tcW w:w="447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DN32</w:t>
            </w:r>
          </w:p>
        </w:tc>
        <w:tc>
          <w:tcPr>
            <w:tcW w:w="11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2.00 </w:t>
            </w:r>
          </w:p>
        </w:tc>
        <w:tc>
          <w:tcPr>
            <w:tcW w:w="668"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498" w:hRule="atLeast"/>
        </w:trPr>
        <w:tc>
          <w:tcPr>
            <w:tcW w:w="4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4</w:t>
            </w:r>
          </w:p>
        </w:tc>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铜截止阀</w:t>
            </w:r>
          </w:p>
        </w:tc>
        <w:tc>
          <w:tcPr>
            <w:tcW w:w="447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DN50</w:t>
            </w:r>
          </w:p>
        </w:tc>
        <w:tc>
          <w:tcPr>
            <w:tcW w:w="11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13.00 </w:t>
            </w:r>
          </w:p>
        </w:tc>
        <w:tc>
          <w:tcPr>
            <w:tcW w:w="668"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498" w:hRule="atLeast"/>
        </w:trPr>
        <w:tc>
          <w:tcPr>
            <w:tcW w:w="4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5</w:t>
            </w:r>
          </w:p>
        </w:tc>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闸阀（铜芯）</w:t>
            </w:r>
          </w:p>
        </w:tc>
        <w:tc>
          <w:tcPr>
            <w:tcW w:w="447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DN65</w:t>
            </w:r>
          </w:p>
        </w:tc>
        <w:tc>
          <w:tcPr>
            <w:tcW w:w="11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2.00 </w:t>
            </w:r>
          </w:p>
        </w:tc>
        <w:tc>
          <w:tcPr>
            <w:tcW w:w="668"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498" w:hRule="atLeast"/>
        </w:trPr>
        <w:tc>
          <w:tcPr>
            <w:tcW w:w="4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6</w:t>
            </w:r>
          </w:p>
        </w:tc>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闸阀（铜芯）</w:t>
            </w:r>
          </w:p>
        </w:tc>
        <w:tc>
          <w:tcPr>
            <w:tcW w:w="447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DN80</w:t>
            </w:r>
          </w:p>
        </w:tc>
        <w:tc>
          <w:tcPr>
            <w:tcW w:w="11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68"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498" w:hRule="atLeast"/>
        </w:trPr>
        <w:tc>
          <w:tcPr>
            <w:tcW w:w="4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7</w:t>
            </w:r>
          </w:p>
        </w:tc>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角阀</w:t>
            </w:r>
          </w:p>
        </w:tc>
        <w:tc>
          <w:tcPr>
            <w:tcW w:w="447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DN20</w:t>
            </w:r>
          </w:p>
        </w:tc>
        <w:tc>
          <w:tcPr>
            <w:tcW w:w="11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55.00 </w:t>
            </w:r>
          </w:p>
        </w:tc>
        <w:tc>
          <w:tcPr>
            <w:tcW w:w="668"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498" w:hRule="atLeast"/>
        </w:trPr>
        <w:tc>
          <w:tcPr>
            <w:tcW w:w="4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8</w:t>
            </w:r>
          </w:p>
        </w:tc>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恒温阀</w:t>
            </w:r>
          </w:p>
        </w:tc>
        <w:tc>
          <w:tcPr>
            <w:tcW w:w="447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DN20</w:t>
            </w:r>
          </w:p>
        </w:tc>
        <w:tc>
          <w:tcPr>
            <w:tcW w:w="11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9.00 </w:t>
            </w:r>
          </w:p>
        </w:tc>
        <w:tc>
          <w:tcPr>
            <w:tcW w:w="668"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498" w:hRule="atLeast"/>
        </w:trPr>
        <w:tc>
          <w:tcPr>
            <w:tcW w:w="4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9</w:t>
            </w:r>
          </w:p>
        </w:tc>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补偿器</w:t>
            </w:r>
          </w:p>
        </w:tc>
        <w:tc>
          <w:tcPr>
            <w:tcW w:w="447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DN50</w:t>
            </w:r>
          </w:p>
        </w:tc>
        <w:tc>
          <w:tcPr>
            <w:tcW w:w="11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3.00 </w:t>
            </w:r>
          </w:p>
        </w:tc>
        <w:tc>
          <w:tcPr>
            <w:tcW w:w="668"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498" w:hRule="atLeast"/>
        </w:trPr>
        <w:tc>
          <w:tcPr>
            <w:tcW w:w="46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bCs/>
                <w:color w:val="auto"/>
                <w:sz w:val="20"/>
                <w:szCs w:val="20"/>
                <w:highlight w:val="none"/>
              </w:rPr>
            </w:pPr>
            <w:r>
              <w:rPr>
                <w:rFonts w:hint="eastAsia" w:ascii="宋体" w:hAnsi="宋体" w:cs="宋体"/>
                <w:b/>
                <w:bCs/>
                <w:color w:val="auto"/>
                <w:sz w:val="20"/>
                <w:szCs w:val="20"/>
                <w:highlight w:val="none"/>
                <w:lang w:bidi="ar"/>
              </w:rPr>
              <w:t>四</w:t>
            </w:r>
          </w:p>
        </w:tc>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b/>
                <w:bCs/>
                <w:color w:val="auto"/>
                <w:sz w:val="20"/>
                <w:szCs w:val="20"/>
                <w:highlight w:val="none"/>
              </w:rPr>
            </w:pPr>
            <w:r>
              <w:rPr>
                <w:rFonts w:hint="eastAsia" w:ascii="宋体" w:hAnsi="宋体" w:cs="宋体"/>
                <w:b/>
                <w:bCs/>
                <w:color w:val="auto"/>
                <w:sz w:val="20"/>
                <w:szCs w:val="20"/>
                <w:highlight w:val="none"/>
                <w:lang w:bidi="ar"/>
              </w:rPr>
              <w:t>其他</w:t>
            </w:r>
          </w:p>
        </w:tc>
        <w:tc>
          <w:tcPr>
            <w:tcW w:w="447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color w:val="auto"/>
                <w:sz w:val="20"/>
                <w:szCs w:val="20"/>
                <w:highlight w:val="none"/>
              </w:rPr>
            </w:pPr>
          </w:p>
        </w:tc>
        <w:tc>
          <w:tcPr>
            <w:tcW w:w="114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color w:val="auto"/>
                <w:sz w:val="20"/>
                <w:szCs w:val="20"/>
                <w:highlight w:val="none"/>
              </w:rPr>
            </w:pP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 w:val="20"/>
                <w:szCs w:val="20"/>
                <w:highlight w:val="none"/>
              </w:rPr>
            </w:pP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 w:val="20"/>
                <w:szCs w:val="20"/>
                <w:highlight w:val="none"/>
              </w:rPr>
            </w:pPr>
          </w:p>
        </w:tc>
        <w:tc>
          <w:tcPr>
            <w:tcW w:w="668"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498" w:hRule="atLeast"/>
        </w:trPr>
        <w:tc>
          <w:tcPr>
            <w:tcW w:w="4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w:t>
            </w:r>
          </w:p>
        </w:tc>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b/>
                <w:bCs/>
                <w:color w:val="auto"/>
                <w:sz w:val="20"/>
                <w:szCs w:val="20"/>
                <w:highlight w:val="none"/>
              </w:rPr>
            </w:pPr>
          </w:p>
        </w:tc>
        <w:tc>
          <w:tcPr>
            <w:tcW w:w="447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color w:val="auto"/>
                <w:sz w:val="20"/>
                <w:szCs w:val="20"/>
                <w:highlight w:val="none"/>
              </w:rPr>
            </w:pPr>
          </w:p>
        </w:tc>
        <w:tc>
          <w:tcPr>
            <w:tcW w:w="114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color w:val="auto"/>
                <w:sz w:val="20"/>
                <w:szCs w:val="20"/>
                <w:highlight w:val="none"/>
              </w:rPr>
            </w:pP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 w:val="20"/>
                <w:szCs w:val="20"/>
                <w:highlight w:val="none"/>
              </w:rPr>
            </w:pP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68"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498" w:hRule="atLeast"/>
        </w:trPr>
        <w:tc>
          <w:tcPr>
            <w:tcW w:w="4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w:t>
            </w:r>
          </w:p>
        </w:tc>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清扫口DN100</w:t>
            </w:r>
          </w:p>
        </w:tc>
        <w:tc>
          <w:tcPr>
            <w:tcW w:w="447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color w:val="auto"/>
                <w:sz w:val="20"/>
                <w:szCs w:val="20"/>
                <w:highlight w:val="none"/>
              </w:rPr>
            </w:pPr>
          </w:p>
        </w:tc>
        <w:tc>
          <w:tcPr>
            <w:tcW w:w="11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15.00 </w:t>
            </w:r>
          </w:p>
        </w:tc>
        <w:tc>
          <w:tcPr>
            <w:tcW w:w="668"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498" w:hRule="atLeast"/>
        </w:trPr>
        <w:tc>
          <w:tcPr>
            <w:tcW w:w="4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3</w:t>
            </w:r>
          </w:p>
        </w:tc>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清扫口DN150</w:t>
            </w:r>
          </w:p>
        </w:tc>
        <w:tc>
          <w:tcPr>
            <w:tcW w:w="447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color w:val="auto"/>
                <w:sz w:val="20"/>
                <w:szCs w:val="20"/>
                <w:highlight w:val="none"/>
              </w:rPr>
            </w:pPr>
          </w:p>
        </w:tc>
        <w:tc>
          <w:tcPr>
            <w:tcW w:w="11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6.00 </w:t>
            </w:r>
          </w:p>
        </w:tc>
        <w:tc>
          <w:tcPr>
            <w:tcW w:w="668"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498" w:hRule="atLeast"/>
        </w:trPr>
        <w:tc>
          <w:tcPr>
            <w:tcW w:w="4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4</w:t>
            </w:r>
          </w:p>
        </w:tc>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地漏</w:t>
            </w:r>
          </w:p>
        </w:tc>
        <w:tc>
          <w:tcPr>
            <w:tcW w:w="447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DN50，不锈钢材质</w:t>
            </w:r>
          </w:p>
        </w:tc>
        <w:tc>
          <w:tcPr>
            <w:tcW w:w="11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17.00 </w:t>
            </w:r>
          </w:p>
        </w:tc>
        <w:tc>
          <w:tcPr>
            <w:tcW w:w="668"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420" w:hRule="atLeast"/>
        </w:trPr>
        <w:tc>
          <w:tcPr>
            <w:tcW w:w="46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bCs/>
                <w:color w:val="auto"/>
                <w:sz w:val="20"/>
                <w:szCs w:val="20"/>
                <w:highlight w:val="none"/>
              </w:rPr>
            </w:pPr>
          </w:p>
        </w:tc>
        <w:tc>
          <w:tcPr>
            <w:tcW w:w="539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bCs/>
                <w:color w:val="auto"/>
                <w:sz w:val="20"/>
                <w:szCs w:val="20"/>
                <w:highlight w:val="none"/>
              </w:rPr>
            </w:pPr>
            <w:r>
              <w:rPr>
                <w:rFonts w:hint="eastAsia" w:ascii="宋体" w:hAnsi="宋体" w:cs="宋体"/>
                <w:b/>
                <w:bCs/>
                <w:color w:val="auto"/>
                <w:sz w:val="20"/>
                <w:szCs w:val="20"/>
                <w:highlight w:val="none"/>
                <w:lang w:bidi="ar"/>
              </w:rPr>
              <w:t>合计</w:t>
            </w:r>
          </w:p>
        </w:tc>
        <w:tc>
          <w:tcPr>
            <w:tcW w:w="114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b/>
                <w:bCs/>
                <w:color w:val="auto"/>
                <w:sz w:val="20"/>
                <w:szCs w:val="20"/>
                <w:highlight w:val="none"/>
              </w:rPr>
            </w:pP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b/>
                <w:bCs/>
                <w:color w:val="auto"/>
                <w:sz w:val="20"/>
                <w:szCs w:val="20"/>
                <w:highlight w:val="none"/>
              </w:rPr>
            </w:pP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 w:val="20"/>
                <w:szCs w:val="20"/>
                <w:highlight w:val="none"/>
              </w:rPr>
            </w:pPr>
          </w:p>
        </w:tc>
        <w:tc>
          <w:tcPr>
            <w:tcW w:w="668"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b/>
                <w:bCs/>
                <w:color w:val="auto"/>
                <w:sz w:val="20"/>
                <w:szCs w:val="20"/>
                <w:highlight w:val="none"/>
              </w:rPr>
            </w:pPr>
          </w:p>
        </w:tc>
      </w:tr>
    </w:tbl>
    <w:p>
      <w:pPr>
        <w:rPr>
          <w:rFonts w:ascii="宋体" w:hAnsi="宋体"/>
          <w:color w:val="auto"/>
          <w:highlight w:val="none"/>
        </w:rPr>
      </w:pPr>
    </w:p>
    <w:p>
      <w:pPr>
        <w:spacing w:before="120" w:after="120" w:line="360" w:lineRule="auto"/>
        <w:jc w:val="left"/>
        <w:rPr>
          <w:rFonts w:ascii="宋体" w:hAnsi="宋体"/>
          <w:color w:val="auto"/>
          <w:highlight w:val="none"/>
        </w:rPr>
      </w:pPr>
      <w:r>
        <w:rPr>
          <w:rFonts w:hint="eastAsia" w:ascii="宋体" w:hAnsi="宋体"/>
          <w:color w:val="auto"/>
          <w:highlight w:val="none"/>
        </w:rPr>
        <w:t>注：1、“含税综合单价”包括深化设计（中标后提供）费、设备材料费、运输保险费、卸货费、保管费、施工费、调试费、技术服务与培训费、试运行费用、验收费、质保期内的维修保养费、备品备件（含专用工具）费、所有措施费、规费、税金（按国家规定）、施工水电费、总承包服务费、政策性文件规定等所有因素的相关费用。</w:t>
      </w:r>
    </w:p>
    <w:p>
      <w:pPr>
        <w:spacing w:line="360" w:lineRule="auto"/>
        <w:rPr>
          <w:rFonts w:ascii="宋体" w:hAnsi="宋体"/>
          <w:color w:val="auto"/>
          <w:highlight w:val="none"/>
        </w:rPr>
      </w:pPr>
      <w:r>
        <w:rPr>
          <w:rFonts w:hint="eastAsia" w:ascii="宋体" w:hAnsi="宋体"/>
          <w:color w:val="auto"/>
          <w:highlight w:val="none"/>
        </w:rPr>
        <w:t>2、投标人可在以上工程量清单之后详细列出认为对于按招标文件、图纸及技术要求完成本工程所必须发生的，但没有包括在上述工程量清单费用中的项目；如认为清单内项目的数量有误，亦可于下方列明具体的“序号、名称、规格参数、品牌、单位、数量、含税综合单价、含税合价”并计算增减费用。</w:t>
      </w:r>
    </w:p>
    <w:p>
      <w:pPr>
        <w:rPr>
          <w:rFonts w:asciiTheme="minorEastAsia" w:hAnsiTheme="minorEastAsia" w:eastAsiaTheme="minorEastAsia" w:cstheme="minorEastAsia"/>
          <w:color w:val="auto"/>
          <w:sz w:val="24"/>
          <w:szCs w:val="24"/>
          <w:highlight w:val="none"/>
        </w:rPr>
      </w:pPr>
    </w:p>
    <w:p>
      <w:pPr>
        <w:pStyle w:val="5"/>
        <w:rPr>
          <w:color w:val="auto"/>
          <w:highlight w:val="none"/>
        </w:rPr>
      </w:pPr>
      <w:bookmarkStart w:id="445" w:name="_Toc24820"/>
      <w:r>
        <w:rPr>
          <w:rFonts w:hint="eastAsia"/>
          <w:color w:val="auto"/>
          <w:highlight w:val="none"/>
        </w:rPr>
        <w:t>第七章</w:t>
      </w:r>
      <w:r>
        <w:rPr>
          <w:color w:val="auto"/>
          <w:highlight w:val="none"/>
        </w:rPr>
        <w:t xml:space="preserve">  </w:t>
      </w:r>
      <w:r>
        <w:rPr>
          <w:rFonts w:hint="eastAsia"/>
          <w:color w:val="auto"/>
          <w:highlight w:val="none"/>
        </w:rPr>
        <w:t>投标文件格式</w:t>
      </w:r>
      <w:bookmarkEnd w:id="445"/>
    </w:p>
    <w:p>
      <w:pPr>
        <w:spacing w:line="360" w:lineRule="auto"/>
        <w:ind w:left="1290"/>
        <w:jc w:val="left"/>
        <w:rPr>
          <w:rFonts w:asciiTheme="minorEastAsia" w:hAnsiTheme="minorEastAsia" w:eastAsiaTheme="minorEastAsia" w:cstheme="minorEastAsia"/>
          <w:color w:val="auto"/>
          <w:sz w:val="24"/>
          <w:szCs w:val="24"/>
          <w:highlight w:val="none"/>
        </w:rPr>
      </w:pPr>
    </w:p>
    <w:p>
      <w:pPr>
        <w:spacing w:line="400" w:lineRule="exact"/>
        <w:ind w:firstLine="210"/>
        <w:jc w:val="center"/>
        <w:rPr>
          <w:rFonts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t>项目名称：</w:t>
      </w:r>
      <w:r>
        <w:rPr>
          <w:rFonts w:asciiTheme="minorEastAsia" w:hAnsiTheme="minorEastAsia" w:eastAsiaTheme="minorEastAsia" w:cstheme="minorEastAsia"/>
          <w:color w:val="auto"/>
          <w:sz w:val="32"/>
          <w:szCs w:val="32"/>
          <w:highlight w:val="none"/>
          <w:u w:val="single"/>
        </w:rPr>
        <w:t xml:space="preserve">                          </w:t>
      </w:r>
      <w:r>
        <w:rPr>
          <w:rFonts w:hint="eastAsia" w:asciiTheme="minorEastAsia" w:hAnsiTheme="minorEastAsia" w:eastAsiaTheme="minorEastAsia" w:cstheme="minorEastAsia"/>
          <w:color w:val="auto"/>
          <w:sz w:val="32"/>
          <w:szCs w:val="32"/>
          <w:highlight w:val="none"/>
        </w:rPr>
        <w:t>项目</w:t>
      </w:r>
    </w:p>
    <w:p>
      <w:pPr>
        <w:spacing w:line="400" w:lineRule="exact"/>
        <w:ind w:firstLine="210"/>
        <w:jc w:val="center"/>
        <w:rPr>
          <w:rFonts w:asciiTheme="minorEastAsia" w:hAnsiTheme="minorEastAsia" w:eastAsiaTheme="minorEastAsia" w:cstheme="minorEastAsia"/>
          <w:color w:val="auto"/>
          <w:sz w:val="32"/>
          <w:szCs w:val="32"/>
          <w:highlight w:val="none"/>
        </w:rPr>
      </w:pPr>
    </w:p>
    <w:p>
      <w:pPr>
        <w:spacing w:line="400" w:lineRule="exact"/>
        <w:ind w:firstLine="210"/>
        <w:jc w:val="center"/>
        <w:rPr>
          <w:rFonts w:asciiTheme="minorEastAsia" w:hAnsiTheme="minorEastAsia" w:eastAsiaTheme="minorEastAsia" w:cstheme="minorEastAsia"/>
          <w:color w:val="auto"/>
          <w:sz w:val="32"/>
          <w:szCs w:val="32"/>
          <w:highlight w:val="none"/>
        </w:rPr>
      </w:pPr>
    </w:p>
    <w:p>
      <w:pPr>
        <w:spacing w:line="400" w:lineRule="exact"/>
        <w:ind w:firstLine="210"/>
        <w:jc w:val="center"/>
        <w:rPr>
          <w:rFonts w:asciiTheme="minorEastAsia" w:hAnsiTheme="minorEastAsia" w:eastAsiaTheme="minorEastAsia" w:cstheme="minorEastAsia"/>
          <w:color w:val="auto"/>
          <w:sz w:val="32"/>
          <w:szCs w:val="32"/>
          <w:highlight w:val="none"/>
        </w:rPr>
      </w:pPr>
    </w:p>
    <w:p>
      <w:pPr>
        <w:spacing w:line="400" w:lineRule="exact"/>
        <w:ind w:firstLine="210"/>
        <w:jc w:val="center"/>
        <w:rPr>
          <w:rFonts w:asciiTheme="minorEastAsia" w:hAnsiTheme="minorEastAsia" w:eastAsiaTheme="minorEastAsia" w:cstheme="minorEastAsia"/>
          <w:color w:val="auto"/>
          <w:sz w:val="32"/>
          <w:szCs w:val="32"/>
          <w:highlight w:val="none"/>
        </w:rPr>
      </w:pPr>
    </w:p>
    <w:p>
      <w:pPr>
        <w:spacing w:line="400" w:lineRule="exact"/>
        <w:ind w:firstLine="210"/>
        <w:jc w:val="center"/>
        <w:rPr>
          <w:rFonts w:asciiTheme="minorEastAsia" w:hAnsiTheme="minorEastAsia" w:eastAsiaTheme="minorEastAsia" w:cstheme="minorEastAsia"/>
          <w:color w:val="auto"/>
          <w:sz w:val="32"/>
          <w:szCs w:val="32"/>
          <w:highlight w:val="none"/>
        </w:rPr>
      </w:pPr>
    </w:p>
    <w:p>
      <w:pPr>
        <w:spacing w:line="400" w:lineRule="exact"/>
        <w:ind w:firstLine="210"/>
        <w:jc w:val="center"/>
        <w:rPr>
          <w:rFonts w:asciiTheme="minorEastAsia" w:hAnsiTheme="minorEastAsia" w:eastAsiaTheme="minorEastAsia" w:cstheme="minorEastAsia"/>
          <w:color w:val="auto"/>
          <w:sz w:val="32"/>
          <w:szCs w:val="32"/>
          <w:highlight w:val="none"/>
        </w:rPr>
      </w:pPr>
    </w:p>
    <w:p>
      <w:pPr>
        <w:spacing w:line="400" w:lineRule="exact"/>
        <w:ind w:firstLine="210"/>
        <w:jc w:val="center"/>
        <w:rPr>
          <w:rFonts w:asciiTheme="minorEastAsia" w:hAnsiTheme="minorEastAsia" w:eastAsiaTheme="minorEastAsia" w:cstheme="minorEastAsia"/>
          <w:color w:val="auto"/>
          <w:sz w:val="32"/>
          <w:szCs w:val="32"/>
          <w:highlight w:val="none"/>
        </w:rPr>
      </w:pPr>
    </w:p>
    <w:p>
      <w:pPr>
        <w:spacing w:line="400" w:lineRule="exact"/>
        <w:ind w:firstLine="210"/>
        <w:jc w:val="center"/>
        <w:rPr>
          <w:rFonts w:asciiTheme="minorEastAsia" w:hAnsiTheme="minorEastAsia" w:eastAsiaTheme="minorEastAsia" w:cstheme="minorEastAsia"/>
          <w:color w:val="auto"/>
          <w:sz w:val="32"/>
          <w:szCs w:val="32"/>
          <w:highlight w:val="none"/>
        </w:rPr>
      </w:pPr>
    </w:p>
    <w:p>
      <w:pPr>
        <w:spacing w:line="480" w:lineRule="auto"/>
        <w:ind w:firstLine="210"/>
        <w:jc w:val="center"/>
        <w:rPr>
          <w:rFonts w:asciiTheme="minorEastAsia" w:hAnsiTheme="minorEastAsia" w:eastAsiaTheme="minorEastAsia" w:cstheme="minorEastAsia"/>
          <w:color w:val="auto"/>
          <w:sz w:val="44"/>
          <w:szCs w:val="44"/>
          <w:highlight w:val="none"/>
        </w:rPr>
      </w:pPr>
      <w:r>
        <w:rPr>
          <w:rFonts w:hint="eastAsia" w:asciiTheme="minorEastAsia" w:hAnsiTheme="minorEastAsia" w:eastAsiaTheme="minorEastAsia" w:cstheme="minorEastAsia"/>
          <w:color w:val="auto"/>
          <w:sz w:val="44"/>
          <w:szCs w:val="44"/>
          <w:highlight w:val="none"/>
        </w:rPr>
        <w:t>投标文件</w:t>
      </w:r>
    </w:p>
    <w:p>
      <w:pPr>
        <w:spacing w:line="480" w:lineRule="auto"/>
        <w:ind w:firstLine="210"/>
        <w:jc w:val="center"/>
        <w:rPr>
          <w:rFonts w:asciiTheme="minorEastAsia" w:hAnsiTheme="minorEastAsia" w:eastAsiaTheme="minorEastAsia" w:cstheme="minorEastAsia"/>
          <w:color w:val="auto"/>
          <w:sz w:val="44"/>
          <w:szCs w:val="44"/>
          <w:highlight w:val="none"/>
        </w:rPr>
      </w:pPr>
    </w:p>
    <w:p>
      <w:pPr>
        <w:spacing w:line="480" w:lineRule="auto"/>
        <w:ind w:firstLine="210"/>
        <w:jc w:val="center"/>
        <w:rPr>
          <w:rFonts w:asciiTheme="minorEastAsia" w:hAnsiTheme="minorEastAsia" w:eastAsiaTheme="minorEastAsia" w:cstheme="minorEastAsia"/>
          <w:color w:val="auto"/>
          <w:sz w:val="44"/>
          <w:szCs w:val="44"/>
          <w:highlight w:val="none"/>
        </w:rPr>
      </w:pPr>
    </w:p>
    <w:p>
      <w:pPr>
        <w:spacing w:line="480" w:lineRule="auto"/>
        <w:ind w:firstLine="210"/>
        <w:jc w:val="center"/>
        <w:rPr>
          <w:rFonts w:asciiTheme="minorEastAsia" w:hAnsiTheme="minorEastAsia" w:eastAsiaTheme="minorEastAsia" w:cstheme="minorEastAsia"/>
          <w:color w:val="auto"/>
          <w:sz w:val="44"/>
          <w:szCs w:val="44"/>
          <w:highlight w:val="none"/>
        </w:rPr>
      </w:pPr>
    </w:p>
    <w:p>
      <w:pPr>
        <w:spacing w:line="480" w:lineRule="auto"/>
        <w:ind w:firstLine="210"/>
        <w:jc w:val="center"/>
        <w:rPr>
          <w:rFonts w:asciiTheme="minorEastAsia" w:hAnsiTheme="minorEastAsia" w:eastAsiaTheme="minorEastAsia" w:cstheme="minorEastAsia"/>
          <w:color w:val="auto"/>
          <w:sz w:val="44"/>
          <w:szCs w:val="44"/>
          <w:highlight w:val="none"/>
        </w:rPr>
      </w:pPr>
    </w:p>
    <w:p>
      <w:pPr>
        <w:spacing w:line="360" w:lineRule="auto"/>
        <w:ind w:firstLine="210"/>
        <w:rPr>
          <w:rFonts w:asciiTheme="minorEastAsia" w:hAnsiTheme="minorEastAsia" w:eastAsiaTheme="minorEastAsia" w:cstheme="minorEastAsia"/>
          <w:color w:val="auto"/>
          <w:sz w:val="28"/>
          <w:szCs w:val="28"/>
          <w:highlight w:val="none"/>
          <w:u w:val="single"/>
        </w:rPr>
      </w:pPr>
      <w:r>
        <w:rPr>
          <w:rFonts w:hint="eastAsia" w:asciiTheme="minorEastAsia" w:hAnsiTheme="minorEastAsia" w:eastAsiaTheme="minorEastAsia" w:cstheme="minorEastAsia"/>
          <w:color w:val="auto"/>
          <w:sz w:val="28"/>
          <w:szCs w:val="28"/>
          <w:highlight w:val="none"/>
        </w:rPr>
        <w:t>投标文件内容</w:t>
      </w:r>
      <w:r>
        <w:rPr>
          <w:rFonts w:asciiTheme="minorEastAsia" w:hAnsiTheme="minorEastAsia" w:eastAsiaTheme="minorEastAsia" w:cstheme="minorEastAsia"/>
          <w:color w:val="auto"/>
          <w:sz w:val="28"/>
          <w:szCs w:val="28"/>
          <w:highlight w:val="none"/>
        </w:rPr>
        <w:t xml:space="preserve">: </w:t>
      </w:r>
      <w:r>
        <w:rPr>
          <w:rFonts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u w:val="single"/>
        </w:rPr>
        <w:t>资格审查资料</w:t>
      </w:r>
    </w:p>
    <w:p>
      <w:pPr>
        <w:spacing w:line="360" w:lineRule="auto"/>
        <w:ind w:firstLine="210"/>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投标人：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（盖章）</w:t>
      </w:r>
    </w:p>
    <w:p>
      <w:pPr>
        <w:spacing w:line="360" w:lineRule="auto"/>
        <w:ind w:firstLine="210"/>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法定代表人：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（签字或盖章）</w:t>
      </w:r>
    </w:p>
    <w:p>
      <w:pPr>
        <w:pStyle w:val="2"/>
        <w:ind w:firstLine="280"/>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日期：</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年</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月</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日</w:t>
      </w:r>
    </w:p>
    <w:p>
      <w:pPr>
        <w:pStyle w:val="2"/>
        <w:ind w:firstLine="280"/>
        <w:rPr>
          <w:rFonts w:asciiTheme="minorEastAsia" w:hAnsiTheme="minorEastAsia" w:eastAsiaTheme="minorEastAsia" w:cstheme="minorEastAsia"/>
          <w:color w:val="auto"/>
          <w:sz w:val="28"/>
          <w:szCs w:val="28"/>
          <w:highlight w:val="none"/>
        </w:rPr>
      </w:pPr>
    </w:p>
    <w:p>
      <w:pPr>
        <w:pStyle w:val="2"/>
        <w:ind w:firstLine="280"/>
        <w:rPr>
          <w:rFonts w:asciiTheme="minorEastAsia" w:hAnsiTheme="minorEastAsia" w:eastAsiaTheme="minorEastAsia" w:cstheme="minorEastAsia"/>
          <w:color w:val="auto"/>
          <w:sz w:val="28"/>
          <w:szCs w:val="28"/>
          <w:highlight w:val="none"/>
        </w:rPr>
      </w:pPr>
    </w:p>
    <w:p>
      <w:pPr>
        <w:rPr>
          <w:color w:val="auto"/>
          <w:highlight w:val="none"/>
        </w:rPr>
      </w:pPr>
    </w:p>
    <w:p>
      <w:pPr>
        <w:pStyle w:val="2"/>
        <w:ind w:firstLine="280"/>
        <w:rPr>
          <w:rFonts w:asciiTheme="minorEastAsia" w:hAnsiTheme="minorEastAsia" w:eastAsiaTheme="minorEastAsia" w:cstheme="minorEastAsia"/>
          <w:color w:val="auto"/>
          <w:sz w:val="28"/>
          <w:szCs w:val="28"/>
          <w:highlight w:val="none"/>
        </w:rPr>
      </w:pPr>
    </w:p>
    <w:p>
      <w:pPr>
        <w:pStyle w:val="2"/>
        <w:ind w:firstLine="281"/>
        <w:rPr>
          <w:rFonts w:asciiTheme="minorEastAsia" w:hAnsiTheme="minorEastAsia" w:eastAsiaTheme="minorEastAsia" w:cstheme="minorEastAsia"/>
          <w:b/>
          <w:bCs/>
          <w:color w:val="auto"/>
          <w:sz w:val="28"/>
          <w:szCs w:val="28"/>
          <w:highlight w:val="none"/>
        </w:rPr>
      </w:pPr>
      <w:r>
        <w:rPr>
          <w:rFonts w:hint="eastAsia" w:asciiTheme="minorEastAsia" w:hAnsiTheme="minorEastAsia" w:eastAsiaTheme="minorEastAsia" w:cstheme="minorEastAsia"/>
          <w:b/>
          <w:bCs/>
          <w:color w:val="auto"/>
          <w:sz w:val="28"/>
          <w:szCs w:val="28"/>
          <w:highlight w:val="none"/>
        </w:rPr>
        <w:t>资格审查资料：</w:t>
      </w:r>
    </w:p>
    <w:p>
      <w:pPr>
        <w:rPr>
          <w:rFonts w:asciiTheme="minorEastAsia" w:hAnsiTheme="minorEastAsia" w:eastAsiaTheme="minorEastAsia" w:cstheme="minorEastAsia"/>
          <w:b/>
          <w:bCs/>
          <w:color w:val="auto"/>
          <w:sz w:val="28"/>
          <w:szCs w:val="28"/>
          <w:highlight w:val="none"/>
        </w:rPr>
      </w:pPr>
    </w:p>
    <w:p>
      <w:pPr>
        <w:widowControl/>
        <w:spacing w:line="360" w:lineRule="auto"/>
        <w:ind w:firstLine="210"/>
        <w:jc w:val="left"/>
        <w:rPr>
          <w:rFonts w:asciiTheme="minorEastAsia" w:hAnsiTheme="minorEastAsia" w:eastAsiaTheme="minorEastAsia" w:cstheme="minorEastAsia"/>
          <w:color w:val="auto"/>
          <w:sz w:val="24"/>
          <w:szCs w:val="24"/>
          <w:highlight w:val="none"/>
          <w:lang w:bidi="ar"/>
        </w:rPr>
      </w:pPr>
      <w:r>
        <w:rPr>
          <w:rFonts w:asciiTheme="minorEastAsia" w:hAnsiTheme="minorEastAsia" w:eastAsiaTheme="minorEastAsia" w:cstheme="minorEastAsia"/>
          <w:color w:val="auto"/>
          <w:sz w:val="24"/>
          <w:szCs w:val="24"/>
          <w:highlight w:val="none"/>
          <w:lang w:bidi="ar"/>
        </w:rPr>
        <w:t>1、企业法人营业执照复印件。</w:t>
      </w:r>
    </w:p>
    <w:p>
      <w:pPr>
        <w:widowControl/>
        <w:spacing w:line="360" w:lineRule="auto"/>
        <w:ind w:firstLine="210"/>
        <w:jc w:val="left"/>
        <w:rPr>
          <w:rFonts w:asciiTheme="minorEastAsia" w:hAnsiTheme="minorEastAsia" w:eastAsiaTheme="minorEastAsia" w:cstheme="minorEastAsia"/>
          <w:color w:val="auto"/>
          <w:sz w:val="24"/>
          <w:szCs w:val="24"/>
          <w:highlight w:val="none"/>
          <w:lang w:bidi="ar"/>
        </w:rPr>
      </w:pPr>
      <w:r>
        <w:rPr>
          <w:rFonts w:asciiTheme="minorEastAsia" w:hAnsiTheme="minorEastAsia" w:eastAsiaTheme="minorEastAsia" w:cstheme="minorEastAsia"/>
          <w:color w:val="auto"/>
          <w:sz w:val="24"/>
          <w:szCs w:val="24"/>
          <w:highlight w:val="none"/>
          <w:lang w:bidi="ar"/>
        </w:rPr>
        <w:t>2、资质证书、安全生产许可证复印件。</w:t>
      </w:r>
    </w:p>
    <w:p>
      <w:pPr>
        <w:widowControl/>
        <w:spacing w:line="360" w:lineRule="auto"/>
        <w:ind w:firstLine="210"/>
        <w:jc w:val="left"/>
        <w:rPr>
          <w:rFonts w:asciiTheme="minorEastAsia" w:hAnsiTheme="minorEastAsia" w:eastAsiaTheme="minorEastAsia" w:cstheme="minorEastAsia"/>
          <w:color w:val="auto"/>
          <w:sz w:val="24"/>
          <w:szCs w:val="24"/>
          <w:highlight w:val="none"/>
          <w:lang w:bidi="ar"/>
        </w:rPr>
      </w:pPr>
      <w:r>
        <w:rPr>
          <w:rFonts w:asciiTheme="minorEastAsia" w:hAnsiTheme="minorEastAsia" w:eastAsiaTheme="minorEastAsia" w:cstheme="minorEastAsia"/>
          <w:color w:val="auto"/>
          <w:sz w:val="24"/>
          <w:szCs w:val="24"/>
          <w:highlight w:val="none"/>
          <w:lang w:bidi="ar"/>
        </w:rPr>
        <w:t>3、医疗器械经营许可证或医疗器械生产许可证复印件。</w:t>
      </w:r>
    </w:p>
    <w:p>
      <w:pPr>
        <w:widowControl/>
        <w:spacing w:line="360" w:lineRule="auto"/>
        <w:ind w:firstLine="210"/>
        <w:jc w:val="left"/>
        <w:rPr>
          <w:rFonts w:asciiTheme="minorEastAsia" w:hAnsiTheme="minorEastAsia" w:eastAsiaTheme="minorEastAsia" w:cstheme="minorEastAsia"/>
          <w:color w:val="auto"/>
          <w:sz w:val="24"/>
          <w:szCs w:val="24"/>
          <w:highlight w:val="none"/>
          <w:lang w:bidi="ar"/>
        </w:rPr>
      </w:pPr>
      <w:r>
        <w:rPr>
          <w:rFonts w:asciiTheme="minorEastAsia" w:hAnsiTheme="minorEastAsia" w:eastAsiaTheme="minorEastAsia" w:cstheme="minorEastAsia"/>
          <w:color w:val="auto"/>
          <w:sz w:val="24"/>
          <w:szCs w:val="24"/>
          <w:highlight w:val="none"/>
          <w:lang w:bidi="ar"/>
        </w:rPr>
        <w:t>4、业绩证明材料的中标通知书（或合同）及验收证明的复印件。</w:t>
      </w:r>
    </w:p>
    <w:p>
      <w:pPr>
        <w:widowControl/>
        <w:spacing w:line="360" w:lineRule="auto"/>
        <w:ind w:firstLine="210"/>
        <w:jc w:val="left"/>
        <w:rPr>
          <w:rFonts w:asciiTheme="minorEastAsia" w:hAnsiTheme="minorEastAsia" w:eastAsiaTheme="minorEastAsia" w:cstheme="minorEastAsia"/>
          <w:color w:val="auto"/>
          <w:sz w:val="24"/>
          <w:szCs w:val="24"/>
          <w:highlight w:val="none"/>
          <w:lang w:bidi="ar"/>
        </w:rPr>
      </w:pPr>
      <w:r>
        <w:rPr>
          <w:rFonts w:asciiTheme="minorEastAsia" w:hAnsiTheme="minorEastAsia" w:eastAsiaTheme="minorEastAsia" w:cstheme="minorEastAsia"/>
          <w:color w:val="auto"/>
          <w:sz w:val="24"/>
          <w:szCs w:val="24"/>
          <w:highlight w:val="none"/>
          <w:lang w:bidi="ar"/>
        </w:rPr>
        <w:t>5、浙江省外企业须提供浙江省住建厅备案证明或提供在“浙江省建筑市场监管公共服务系统”企业信息备案通过的网页截图（浙江省内企业不作要求）。</w:t>
      </w:r>
    </w:p>
    <w:p>
      <w:pPr>
        <w:widowControl/>
        <w:spacing w:line="360" w:lineRule="auto"/>
        <w:ind w:firstLine="210"/>
        <w:jc w:val="left"/>
        <w:rPr>
          <w:rFonts w:asciiTheme="minorEastAsia" w:hAnsiTheme="minorEastAsia" w:eastAsiaTheme="minorEastAsia" w:cstheme="minorEastAsia"/>
          <w:color w:val="auto"/>
          <w:sz w:val="24"/>
          <w:szCs w:val="24"/>
          <w:highlight w:val="none"/>
          <w:lang w:bidi="ar"/>
        </w:rPr>
      </w:pPr>
      <w:r>
        <w:rPr>
          <w:rFonts w:asciiTheme="minorEastAsia" w:hAnsiTheme="minorEastAsia" w:eastAsiaTheme="minorEastAsia" w:cstheme="minorEastAsia"/>
          <w:color w:val="auto"/>
          <w:sz w:val="24"/>
          <w:szCs w:val="24"/>
          <w:highlight w:val="none"/>
          <w:lang w:bidi="ar"/>
        </w:rPr>
        <w:t>6、项目负责人注册证书、安全生产考核合格证、社保证明复印件</w:t>
      </w:r>
      <w:bookmarkStart w:id="449" w:name="_GoBack"/>
      <w:bookmarkEnd w:id="449"/>
      <w:r>
        <w:rPr>
          <w:rFonts w:asciiTheme="minorEastAsia" w:hAnsiTheme="minorEastAsia" w:eastAsiaTheme="minorEastAsia" w:cstheme="minorEastAsia"/>
          <w:color w:val="auto"/>
          <w:sz w:val="24"/>
          <w:szCs w:val="24"/>
          <w:highlight w:val="none"/>
          <w:lang w:bidi="ar"/>
        </w:rPr>
        <w:t>。</w:t>
      </w:r>
    </w:p>
    <w:p>
      <w:pPr>
        <w:widowControl/>
        <w:spacing w:line="360" w:lineRule="auto"/>
        <w:ind w:firstLine="210"/>
        <w:jc w:val="left"/>
        <w:rPr>
          <w:rFonts w:asciiTheme="minorEastAsia" w:hAnsiTheme="minorEastAsia" w:eastAsiaTheme="minorEastAsia" w:cstheme="minorEastAsia"/>
          <w:color w:val="auto"/>
          <w:sz w:val="24"/>
          <w:szCs w:val="24"/>
          <w:highlight w:val="none"/>
          <w:lang w:bidi="ar"/>
        </w:rPr>
      </w:pPr>
      <w:r>
        <w:rPr>
          <w:rFonts w:asciiTheme="minorEastAsia" w:hAnsiTheme="minorEastAsia" w:eastAsiaTheme="minorEastAsia" w:cstheme="minorEastAsia"/>
          <w:color w:val="auto"/>
          <w:sz w:val="24"/>
          <w:szCs w:val="24"/>
          <w:highlight w:val="none"/>
          <w:lang w:bidi="ar"/>
        </w:rPr>
        <w:t>7、联合体协议书（如有）</w:t>
      </w:r>
    </w:p>
    <w:p>
      <w:pPr>
        <w:spacing w:line="360" w:lineRule="auto"/>
        <w:ind w:firstLine="210"/>
        <w:rPr>
          <w:rFonts w:asciiTheme="minorEastAsia" w:hAnsiTheme="minorEastAsia" w:eastAsiaTheme="minorEastAsia" w:cstheme="minorEastAsia"/>
          <w:color w:val="auto"/>
          <w:sz w:val="24"/>
          <w:szCs w:val="24"/>
          <w:highlight w:val="none"/>
          <w:lang w:bidi="ar"/>
        </w:rPr>
      </w:pPr>
      <w:r>
        <w:rPr>
          <w:rFonts w:hint="eastAsia" w:asciiTheme="minorEastAsia" w:hAnsiTheme="minorEastAsia" w:eastAsiaTheme="minorEastAsia" w:cstheme="minorEastAsia"/>
          <w:color w:val="auto"/>
          <w:sz w:val="24"/>
          <w:szCs w:val="24"/>
          <w:highlight w:val="none"/>
          <w:lang w:bidi="ar"/>
        </w:rPr>
        <w:t>8</w:t>
      </w:r>
      <w:r>
        <w:rPr>
          <w:rFonts w:asciiTheme="minorEastAsia" w:hAnsiTheme="minorEastAsia" w:eastAsiaTheme="minorEastAsia" w:cstheme="minorEastAsia"/>
          <w:color w:val="auto"/>
          <w:sz w:val="24"/>
          <w:szCs w:val="24"/>
          <w:highlight w:val="none"/>
          <w:lang w:bidi="ar"/>
        </w:rPr>
        <w:t>、承诺书（①承诺对资格审查资料所有提交的证明材料真实有效性负责，若发现其有伪造证书、业绩等行为的，同意招标人不接受其投标，其缴纳的投标保证金不予退还；②承诺企业和项目负责人近 5年内无行贿犯罪记录；③承诺项目负责人无在建工程。）格式自拟，加盖投标人公章。</w:t>
      </w:r>
    </w:p>
    <w:p>
      <w:pPr>
        <w:pStyle w:val="3"/>
        <w:rPr>
          <w:color w:val="auto"/>
          <w:highlight w:val="none"/>
        </w:rPr>
      </w:pPr>
    </w:p>
    <w:p>
      <w:pPr>
        <w:adjustRightInd w:val="0"/>
        <w:snapToGrid w:val="0"/>
        <w:spacing w:line="360" w:lineRule="auto"/>
        <w:jc w:val="left"/>
        <w:rPr>
          <w:rFonts w:ascii="宋体" w:hAnsi="宋体" w:cs="宋体"/>
          <w:b/>
          <w:bCs/>
          <w:color w:val="auto"/>
          <w:sz w:val="24"/>
          <w:szCs w:val="24"/>
          <w:highlight w:val="none"/>
          <w:lang w:bidi="ar"/>
        </w:rPr>
      </w:pPr>
      <w:r>
        <w:rPr>
          <w:rFonts w:hint="eastAsia" w:ascii="宋体" w:hAnsi="宋体" w:cs="宋体"/>
          <w:b/>
          <w:bCs/>
          <w:color w:val="auto"/>
          <w:sz w:val="24"/>
          <w:szCs w:val="24"/>
          <w:highlight w:val="none"/>
          <w:lang w:bidi="ar"/>
        </w:rPr>
        <w:t>注：不能提供上述材料任何一项或不符合审查要求的投标人为资格审查不合格。若是联合体投标的，联合体牵头人须提供上述第1-8点内容；联合体其他成员单位提供上述第1、2、5点内容；第7点内容由牵头人提供，但必须由联合体各方盖章。</w:t>
      </w:r>
    </w:p>
    <w:p>
      <w:pPr>
        <w:widowControl/>
        <w:spacing w:line="360" w:lineRule="auto"/>
        <w:jc w:val="left"/>
        <w:rPr>
          <w:rFonts w:ascii="宋体" w:hAnsi="宋体" w:cs="宋体"/>
          <w:b/>
          <w:bCs/>
          <w:color w:val="auto"/>
          <w:sz w:val="24"/>
          <w:szCs w:val="24"/>
          <w:highlight w:val="none"/>
          <w:lang w:bidi="ar"/>
        </w:rPr>
      </w:pPr>
      <w:r>
        <w:rPr>
          <w:rFonts w:hint="eastAsia" w:ascii="宋体" w:hAnsi="宋体" w:cs="宋体"/>
          <w:b/>
          <w:bCs/>
          <w:color w:val="auto"/>
          <w:sz w:val="24"/>
          <w:szCs w:val="24"/>
          <w:highlight w:val="none"/>
          <w:lang w:bidi="ar"/>
        </w:rPr>
        <w:t>※备注：</w:t>
      </w:r>
      <w:r>
        <w:rPr>
          <w:rFonts w:hint="eastAsia" w:ascii="宋体" w:hAnsi="宋体" w:eastAsia="宋体" w:cs="宋体"/>
          <w:b/>
          <w:bCs/>
          <w:color w:val="auto"/>
          <w:sz w:val="24"/>
          <w:szCs w:val="24"/>
          <w:highlight w:val="none"/>
          <w:u w:val="none"/>
          <w:lang w:bidi="ar"/>
        </w:rPr>
        <w:t>项目负责人为一级注册建造师的，则需提供电子注册证书，并在个人签名处手写本人签名，未手写签名或与签名图像笔迹不一致的，该电子证书无效，资格审查不予通过</w:t>
      </w:r>
      <w:r>
        <w:rPr>
          <w:rFonts w:hint="eastAsia" w:ascii="宋体" w:hAnsi="宋体" w:cs="宋体"/>
          <w:b/>
          <w:bCs/>
          <w:color w:val="auto"/>
          <w:sz w:val="24"/>
          <w:szCs w:val="24"/>
          <w:highlight w:val="none"/>
          <w:lang w:bidi="ar"/>
        </w:rPr>
        <w:t>。</w:t>
      </w:r>
    </w:p>
    <w:p>
      <w:pPr>
        <w:ind w:right="241" w:firstLine="560"/>
        <w:rPr>
          <w:rFonts w:asciiTheme="minorEastAsia" w:hAnsiTheme="minorEastAsia" w:eastAsiaTheme="minorEastAsia" w:cstheme="minorEastAsia"/>
          <w:color w:val="auto"/>
          <w:sz w:val="24"/>
          <w:szCs w:val="24"/>
          <w:highlight w:val="none"/>
        </w:rPr>
      </w:pPr>
    </w:p>
    <w:p>
      <w:pPr>
        <w:rPr>
          <w:color w:val="auto"/>
          <w:sz w:val="24"/>
          <w:szCs w:val="24"/>
          <w:highlight w:val="none"/>
        </w:rPr>
      </w:pPr>
    </w:p>
    <w:p>
      <w:pPr>
        <w:widowControl/>
        <w:ind w:right="241" w:firstLine="560"/>
        <w:jc w:val="left"/>
        <w:rPr>
          <w:rFonts w:asciiTheme="minorEastAsia" w:hAnsiTheme="minorEastAsia" w:eastAsiaTheme="minorEastAsia" w:cstheme="minorEastAsia"/>
          <w:color w:val="auto"/>
          <w:sz w:val="24"/>
          <w:szCs w:val="24"/>
          <w:highlight w:val="none"/>
        </w:rPr>
      </w:pPr>
    </w:p>
    <w:p>
      <w:pPr>
        <w:spacing w:line="360" w:lineRule="auto"/>
        <w:ind w:firstLine="210"/>
        <w:rPr>
          <w:rFonts w:asciiTheme="minorEastAsia" w:hAnsiTheme="minorEastAsia" w:eastAsiaTheme="minorEastAsia" w:cstheme="minorEastAsia"/>
          <w:color w:val="auto"/>
          <w:sz w:val="24"/>
          <w:szCs w:val="24"/>
          <w:highlight w:val="none"/>
        </w:rPr>
      </w:pPr>
    </w:p>
    <w:p>
      <w:pPr>
        <w:spacing w:line="360" w:lineRule="auto"/>
        <w:ind w:firstLine="210"/>
        <w:rPr>
          <w:rFonts w:asciiTheme="minorEastAsia" w:hAnsiTheme="minorEastAsia" w:eastAsiaTheme="minorEastAsia" w:cstheme="minorEastAsia"/>
          <w:color w:val="auto"/>
          <w:sz w:val="24"/>
          <w:szCs w:val="24"/>
          <w:highlight w:val="none"/>
        </w:rPr>
      </w:pPr>
    </w:p>
    <w:p>
      <w:pPr>
        <w:spacing w:line="360" w:lineRule="auto"/>
        <w:ind w:firstLine="210"/>
        <w:rPr>
          <w:rFonts w:asciiTheme="minorEastAsia" w:hAnsiTheme="minorEastAsia" w:eastAsiaTheme="minorEastAsia" w:cstheme="minorEastAsia"/>
          <w:color w:val="auto"/>
          <w:sz w:val="24"/>
          <w:szCs w:val="24"/>
          <w:highlight w:val="none"/>
        </w:rPr>
      </w:pPr>
    </w:p>
    <w:p>
      <w:pPr>
        <w:spacing w:line="360" w:lineRule="auto"/>
        <w:ind w:firstLine="210"/>
        <w:rPr>
          <w:rFonts w:asciiTheme="minorEastAsia" w:hAnsiTheme="minorEastAsia" w:eastAsiaTheme="minorEastAsia" w:cstheme="minorEastAsia"/>
          <w:color w:val="auto"/>
          <w:sz w:val="24"/>
          <w:szCs w:val="24"/>
          <w:highlight w:val="none"/>
        </w:rPr>
      </w:pPr>
    </w:p>
    <w:p>
      <w:pPr>
        <w:spacing w:line="360" w:lineRule="auto"/>
        <w:ind w:firstLine="210"/>
        <w:rPr>
          <w:rFonts w:asciiTheme="minorEastAsia" w:hAnsiTheme="minorEastAsia" w:eastAsiaTheme="minorEastAsia" w:cstheme="minorEastAsia"/>
          <w:color w:val="auto"/>
          <w:sz w:val="24"/>
          <w:szCs w:val="24"/>
          <w:highlight w:val="none"/>
        </w:rPr>
      </w:pPr>
    </w:p>
    <w:p>
      <w:pPr>
        <w:spacing w:line="360" w:lineRule="auto"/>
        <w:ind w:firstLine="210"/>
        <w:rPr>
          <w:rFonts w:asciiTheme="minorEastAsia" w:hAnsiTheme="minorEastAsia" w:eastAsiaTheme="minorEastAsia" w:cstheme="minorEastAsia"/>
          <w:color w:val="auto"/>
          <w:sz w:val="24"/>
          <w:szCs w:val="24"/>
          <w:highlight w:val="none"/>
        </w:rPr>
      </w:pPr>
    </w:p>
    <w:p>
      <w:pPr>
        <w:pStyle w:val="2"/>
      </w:pPr>
    </w:p>
    <w:p>
      <w:pPr>
        <w:pStyle w:val="3"/>
        <w:rPr>
          <w:rFonts w:asciiTheme="minorEastAsia" w:hAnsiTheme="minorEastAsia" w:eastAsiaTheme="minorEastAsia" w:cstheme="minorEastAsia"/>
          <w:color w:val="auto"/>
          <w:highlight w:val="none"/>
        </w:rPr>
      </w:pPr>
    </w:p>
    <w:p>
      <w:pPr>
        <w:pStyle w:val="44"/>
        <w:spacing w:after="240" w:afterLines="100"/>
        <w:jc w:val="center"/>
        <w:rPr>
          <w:rFonts w:ascii="宋体" w:hAnsi="宋体" w:eastAsia="宋体"/>
          <w:b/>
          <w:bCs/>
          <w:color w:val="auto"/>
          <w:szCs w:val="28"/>
          <w:highlight w:val="none"/>
        </w:rPr>
      </w:pPr>
      <w:r>
        <w:rPr>
          <w:rFonts w:hint="eastAsia" w:ascii="宋体" w:hAnsi="宋体" w:eastAsia="宋体"/>
          <w:b/>
          <w:bCs/>
          <w:color w:val="auto"/>
          <w:szCs w:val="28"/>
          <w:highlight w:val="none"/>
        </w:rPr>
        <w:t>联合体协议书（如有）</w:t>
      </w:r>
    </w:p>
    <w:p>
      <w:pPr>
        <w:ind w:firstLine="420" w:firstLineChars="200"/>
        <w:rPr>
          <w:rFonts w:ascii="宋体" w:hAnsi="宋体"/>
          <w:color w:val="auto"/>
          <w:szCs w:val="21"/>
          <w:highlight w:val="none"/>
        </w:rPr>
      </w:pPr>
    </w:p>
    <w:p>
      <w:pPr>
        <w:spacing w:line="340" w:lineRule="exact"/>
        <w:rPr>
          <w:rFonts w:ascii="宋体" w:hAnsi="宋体"/>
          <w:color w:val="auto"/>
          <w:szCs w:val="21"/>
          <w:highlight w:val="none"/>
        </w:rPr>
      </w:pPr>
      <w:r>
        <w:rPr>
          <w:rFonts w:hint="eastAsia" w:ascii="宋体" w:hAnsi="宋体"/>
          <w:color w:val="auto"/>
          <w:szCs w:val="21"/>
          <w:highlight w:val="none"/>
        </w:rPr>
        <w:t>牵头人名称：</w:t>
      </w:r>
      <w:r>
        <w:rPr>
          <w:rFonts w:hint="eastAsia" w:ascii="宋体" w:hAnsi="宋体"/>
          <w:color w:val="auto"/>
          <w:szCs w:val="21"/>
          <w:highlight w:val="none"/>
          <w:u w:val="single"/>
        </w:rPr>
        <w:t xml:space="preserve">                                                  </w:t>
      </w:r>
    </w:p>
    <w:p>
      <w:pPr>
        <w:spacing w:line="340" w:lineRule="exact"/>
        <w:rPr>
          <w:rFonts w:ascii="宋体" w:hAnsi="宋体"/>
          <w:color w:val="auto"/>
          <w:szCs w:val="21"/>
          <w:highlight w:val="none"/>
        </w:rPr>
      </w:pPr>
      <w:r>
        <w:rPr>
          <w:rFonts w:hint="eastAsia" w:ascii="宋体" w:hAnsi="宋体"/>
          <w:color w:val="auto"/>
          <w:szCs w:val="21"/>
          <w:highlight w:val="none"/>
        </w:rPr>
        <w:t>法定代表人：</w:t>
      </w:r>
      <w:r>
        <w:rPr>
          <w:rFonts w:hint="eastAsia" w:ascii="宋体" w:hAnsi="宋体"/>
          <w:color w:val="auto"/>
          <w:szCs w:val="21"/>
          <w:highlight w:val="none"/>
          <w:u w:val="single"/>
        </w:rPr>
        <w:t xml:space="preserve">                                                  </w:t>
      </w:r>
    </w:p>
    <w:p>
      <w:pPr>
        <w:spacing w:line="340" w:lineRule="exact"/>
        <w:rPr>
          <w:rFonts w:ascii="宋体" w:hAnsi="宋体"/>
          <w:color w:val="auto"/>
          <w:szCs w:val="21"/>
          <w:highlight w:val="none"/>
        </w:rPr>
      </w:pPr>
      <w:r>
        <w:rPr>
          <w:rFonts w:hint="eastAsia" w:ascii="宋体" w:hAnsi="宋体"/>
          <w:color w:val="auto"/>
          <w:szCs w:val="21"/>
          <w:highlight w:val="none"/>
        </w:rPr>
        <w:t>法定住所：</w:t>
      </w:r>
      <w:r>
        <w:rPr>
          <w:rFonts w:hint="eastAsia" w:ascii="宋体" w:hAnsi="宋体"/>
          <w:color w:val="auto"/>
          <w:szCs w:val="21"/>
          <w:highlight w:val="none"/>
          <w:u w:val="single"/>
        </w:rPr>
        <w:t xml:space="preserve">                                                    </w:t>
      </w:r>
    </w:p>
    <w:p>
      <w:pPr>
        <w:spacing w:line="340" w:lineRule="exact"/>
        <w:rPr>
          <w:rFonts w:ascii="宋体" w:hAnsi="宋体"/>
          <w:color w:val="auto"/>
          <w:szCs w:val="21"/>
          <w:highlight w:val="none"/>
        </w:rPr>
      </w:pPr>
      <w:r>
        <w:rPr>
          <w:rFonts w:hint="eastAsia" w:ascii="宋体" w:hAnsi="宋体"/>
          <w:color w:val="auto"/>
          <w:szCs w:val="21"/>
          <w:highlight w:val="none"/>
        </w:rPr>
        <w:t>成员二名称：</w:t>
      </w:r>
      <w:r>
        <w:rPr>
          <w:rFonts w:hint="eastAsia" w:ascii="宋体" w:hAnsi="宋体"/>
          <w:color w:val="auto"/>
          <w:szCs w:val="21"/>
          <w:highlight w:val="none"/>
          <w:u w:val="single"/>
        </w:rPr>
        <w:t xml:space="preserve">                                                  </w:t>
      </w:r>
    </w:p>
    <w:p>
      <w:pPr>
        <w:spacing w:line="340" w:lineRule="exact"/>
        <w:rPr>
          <w:rFonts w:ascii="宋体" w:hAnsi="宋体"/>
          <w:color w:val="auto"/>
          <w:szCs w:val="21"/>
          <w:highlight w:val="none"/>
        </w:rPr>
      </w:pPr>
      <w:r>
        <w:rPr>
          <w:rFonts w:hint="eastAsia" w:ascii="宋体" w:hAnsi="宋体"/>
          <w:color w:val="auto"/>
          <w:szCs w:val="21"/>
          <w:highlight w:val="none"/>
        </w:rPr>
        <w:t>法定代表人：</w:t>
      </w:r>
      <w:r>
        <w:rPr>
          <w:rFonts w:hint="eastAsia" w:ascii="宋体" w:hAnsi="宋体"/>
          <w:color w:val="auto"/>
          <w:szCs w:val="21"/>
          <w:highlight w:val="none"/>
          <w:u w:val="single"/>
        </w:rPr>
        <w:t xml:space="preserve">                                                  </w:t>
      </w:r>
    </w:p>
    <w:p>
      <w:pPr>
        <w:spacing w:line="340" w:lineRule="exact"/>
        <w:rPr>
          <w:rFonts w:ascii="宋体" w:hAnsi="宋体"/>
          <w:color w:val="auto"/>
          <w:szCs w:val="21"/>
          <w:highlight w:val="none"/>
          <w:u w:val="single"/>
        </w:rPr>
      </w:pPr>
      <w:r>
        <w:rPr>
          <w:rFonts w:hint="eastAsia" w:ascii="宋体" w:hAnsi="宋体"/>
          <w:color w:val="auto"/>
          <w:szCs w:val="21"/>
          <w:highlight w:val="none"/>
        </w:rPr>
        <w:t>法定住所：</w:t>
      </w:r>
      <w:r>
        <w:rPr>
          <w:rFonts w:hint="eastAsia" w:ascii="宋体" w:hAnsi="宋体"/>
          <w:color w:val="auto"/>
          <w:szCs w:val="21"/>
          <w:highlight w:val="none"/>
          <w:u w:val="single"/>
        </w:rPr>
        <w:t xml:space="preserve">                                                    </w:t>
      </w:r>
    </w:p>
    <w:p>
      <w:pPr>
        <w:spacing w:line="340" w:lineRule="exact"/>
        <w:ind w:firstLine="525" w:firstLineChars="250"/>
        <w:rPr>
          <w:rFonts w:ascii="宋体" w:hAnsi="宋体"/>
          <w:color w:val="auto"/>
          <w:szCs w:val="21"/>
          <w:highlight w:val="none"/>
        </w:rPr>
      </w:pPr>
    </w:p>
    <w:p>
      <w:pPr>
        <w:spacing w:line="340" w:lineRule="exact"/>
        <w:ind w:firstLine="420" w:firstLineChars="200"/>
        <w:rPr>
          <w:rFonts w:ascii="宋体" w:hAnsi="宋体"/>
          <w:color w:val="auto"/>
          <w:szCs w:val="21"/>
          <w:highlight w:val="none"/>
        </w:rPr>
      </w:pPr>
      <w:r>
        <w:rPr>
          <w:rFonts w:hint="eastAsia" w:ascii="宋体" w:hAnsi="宋体"/>
          <w:color w:val="auto"/>
          <w:szCs w:val="21"/>
          <w:highlight w:val="none"/>
        </w:rPr>
        <w:t>鉴于上述各成员单位经过友好协商，自愿组成</w:t>
      </w:r>
      <w:r>
        <w:rPr>
          <w:rFonts w:hint="eastAsia" w:ascii="宋体" w:hAnsi="宋体"/>
          <w:color w:val="auto"/>
          <w:szCs w:val="21"/>
          <w:highlight w:val="none"/>
          <w:u w:val="single"/>
        </w:rPr>
        <w:t xml:space="preserve">       </w:t>
      </w:r>
      <w:r>
        <w:rPr>
          <w:rFonts w:hint="eastAsia" w:ascii="宋体" w:hAnsi="宋体"/>
          <w:color w:val="auto"/>
          <w:szCs w:val="21"/>
          <w:highlight w:val="none"/>
        </w:rPr>
        <w:t>（联合体名称）联合体，共同参加</w:t>
      </w:r>
      <w:r>
        <w:rPr>
          <w:rFonts w:hint="eastAsia" w:ascii="宋体" w:hAnsi="宋体"/>
          <w:color w:val="auto"/>
          <w:szCs w:val="21"/>
          <w:highlight w:val="none"/>
          <w:u w:val="single"/>
        </w:rPr>
        <w:t xml:space="preserve">                  </w:t>
      </w:r>
      <w:r>
        <w:rPr>
          <w:rFonts w:hint="eastAsia" w:ascii="宋体" w:hAnsi="宋体"/>
          <w:color w:val="auto"/>
          <w:szCs w:val="21"/>
          <w:highlight w:val="none"/>
        </w:rPr>
        <w:t>（招标人名称）（以下简称招标人）</w:t>
      </w:r>
      <w:r>
        <w:rPr>
          <w:rFonts w:hint="eastAsia" w:ascii="宋体" w:hAnsi="宋体"/>
          <w:color w:val="auto"/>
          <w:szCs w:val="21"/>
          <w:highlight w:val="none"/>
          <w:u w:val="single"/>
        </w:rPr>
        <w:t xml:space="preserve">        </w:t>
      </w:r>
      <w:r>
        <w:rPr>
          <w:rFonts w:hint="eastAsia" w:ascii="宋体" w:hAnsi="宋体"/>
          <w:color w:val="auto"/>
          <w:szCs w:val="21"/>
          <w:highlight w:val="none"/>
        </w:rPr>
        <w:t>（项目名称）</w:t>
      </w:r>
      <w:r>
        <w:rPr>
          <w:rFonts w:hint="eastAsia" w:ascii="宋体" w:hAnsi="宋体"/>
          <w:color w:val="auto"/>
          <w:szCs w:val="21"/>
          <w:highlight w:val="none"/>
          <w:u w:val="single"/>
        </w:rPr>
        <w:t xml:space="preserve">      </w:t>
      </w:r>
      <w:r>
        <w:rPr>
          <w:rFonts w:hint="eastAsia" w:ascii="宋体" w:hAnsi="宋体"/>
          <w:color w:val="auto"/>
          <w:szCs w:val="21"/>
          <w:highlight w:val="none"/>
        </w:rPr>
        <w:t>标段（以下简称本工程）的施工投标并争取赢得本工程施工承包合同（以下简称合同）。现就联合体投标事宜订立如下协议：</w:t>
      </w:r>
    </w:p>
    <w:p>
      <w:pPr>
        <w:spacing w:line="340" w:lineRule="exact"/>
        <w:ind w:firstLine="420" w:firstLineChars="200"/>
        <w:rPr>
          <w:rFonts w:ascii="宋体" w:hAnsi="宋体"/>
          <w:color w:val="auto"/>
          <w:szCs w:val="21"/>
          <w:highlight w:val="none"/>
        </w:rPr>
      </w:pPr>
      <w:r>
        <w:rPr>
          <w:rFonts w:hint="eastAsia" w:ascii="宋体" w:hAnsi="宋体"/>
          <w:color w:val="auto"/>
          <w:szCs w:val="21"/>
          <w:highlight w:val="none"/>
        </w:rPr>
        <w:t>1．</w:t>
      </w:r>
      <w:r>
        <w:rPr>
          <w:rFonts w:hint="eastAsia" w:ascii="宋体" w:hAnsi="宋体"/>
          <w:color w:val="auto"/>
          <w:szCs w:val="21"/>
          <w:highlight w:val="none"/>
          <w:u w:val="single"/>
        </w:rPr>
        <w:t xml:space="preserve">        </w:t>
      </w:r>
      <w:r>
        <w:rPr>
          <w:rFonts w:hint="eastAsia" w:ascii="宋体" w:hAnsi="宋体"/>
          <w:color w:val="auto"/>
          <w:szCs w:val="21"/>
          <w:highlight w:val="none"/>
        </w:rPr>
        <w:t>（某成员单位名称）为</w:t>
      </w:r>
      <w:r>
        <w:rPr>
          <w:rFonts w:hint="eastAsia" w:ascii="宋体" w:hAnsi="宋体"/>
          <w:color w:val="auto"/>
          <w:szCs w:val="21"/>
          <w:highlight w:val="none"/>
          <w:u w:val="single"/>
        </w:rPr>
        <w:t xml:space="preserve">              </w:t>
      </w:r>
      <w:r>
        <w:rPr>
          <w:rFonts w:hint="eastAsia" w:ascii="宋体" w:hAnsi="宋体"/>
          <w:color w:val="auto"/>
          <w:szCs w:val="21"/>
          <w:highlight w:val="none"/>
        </w:rPr>
        <w:t>（联合体名称）牵头人。</w:t>
      </w:r>
    </w:p>
    <w:p>
      <w:pPr>
        <w:spacing w:line="340" w:lineRule="exact"/>
        <w:ind w:firstLine="420" w:firstLineChars="200"/>
        <w:rPr>
          <w:rFonts w:ascii="宋体" w:hAnsi="宋体"/>
          <w:color w:val="auto"/>
          <w:szCs w:val="21"/>
          <w:highlight w:val="none"/>
        </w:rPr>
      </w:pPr>
      <w:r>
        <w:rPr>
          <w:rFonts w:hint="eastAsia" w:ascii="宋体" w:hAnsi="宋体"/>
          <w:color w:val="auto"/>
          <w:szCs w:val="21"/>
          <w:highlight w:val="none"/>
        </w:rPr>
        <w:t>2．在本工程投标阶段，联合体牵头人合法代表联合体各成员负责本工程投标文件编制活动，代表联合体提交和接收相关的资料、信息及指示，并处理与投标和中标有关的一切事务；联合体中标后，联合体牵头人负责合同订立和合同实施阶段的主办、组织和协调工作。</w:t>
      </w:r>
    </w:p>
    <w:p>
      <w:pPr>
        <w:spacing w:line="340" w:lineRule="exact"/>
        <w:ind w:firstLine="420" w:firstLineChars="200"/>
        <w:rPr>
          <w:rFonts w:ascii="宋体" w:hAnsi="宋体"/>
          <w:color w:val="auto"/>
          <w:szCs w:val="21"/>
          <w:highlight w:val="none"/>
        </w:rPr>
      </w:pPr>
      <w:r>
        <w:rPr>
          <w:rFonts w:hint="eastAsia" w:ascii="宋体" w:hAnsi="宋体"/>
          <w:color w:val="auto"/>
          <w:szCs w:val="21"/>
          <w:highlight w:val="none"/>
        </w:rPr>
        <w:t>3．联合体将严格按照招标文件的各项要求，递交投标文件，履行投标义务和中标后的合同，共同承担合同规定的一切义务和责任，联合体各成员单位按照内部职责的部分，承担各自所负的责任和风险，并向招标人承担连带责任。</w:t>
      </w:r>
    </w:p>
    <w:p>
      <w:pPr>
        <w:spacing w:line="340" w:lineRule="exact"/>
        <w:ind w:firstLine="420" w:firstLineChars="200"/>
        <w:rPr>
          <w:rFonts w:ascii="宋体" w:hAnsi="宋体"/>
          <w:color w:val="auto"/>
          <w:szCs w:val="21"/>
          <w:highlight w:val="none"/>
        </w:rPr>
      </w:pPr>
      <w:r>
        <w:rPr>
          <w:rFonts w:hint="eastAsia" w:ascii="宋体" w:hAnsi="宋体"/>
          <w:color w:val="auto"/>
          <w:szCs w:val="21"/>
          <w:highlight w:val="none"/>
        </w:rPr>
        <w:t>4．联合体各成员单位内部的职责分工如下：</w:t>
      </w:r>
      <w:r>
        <w:rPr>
          <w:rFonts w:hint="eastAsia" w:ascii="宋体" w:hAnsi="宋体"/>
          <w:color w:val="auto"/>
          <w:szCs w:val="21"/>
          <w:highlight w:val="none"/>
          <w:u w:val="single"/>
        </w:rPr>
        <w:t xml:space="preserve">                                    </w:t>
      </w:r>
      <w:r>
        <w:rPr>
          <w:rFonts w:hint="eastAsia" w:ascii="宋体" w:hAnsi="宋体"/>
          <w:color w:val="auto"/>
          <w:szCs w:val="21"/>
          <w:highlight w:val="none"/>
        </w:rPr>
        <w:t>。按照本条上述分工，联合体成员单位各自所承担的合同工作量比例如下：</w:t>
      </w:r>
      <w:r>
        <w:rPr>
          <w:rFonts w:hint="eastAsia" w:ascii="宋体" w:hAnsi="宋体"/>
          <w:color w:val="auto"/>
          <w:szCs w:val="21"/>
          <w:highlight w:val="none"/>
          <w:u w:val="single"/>
        </w:rPr>
        <w:t xml:space="preserve">               </w:t>
      </w:r>
      <w:r>
        <w:rPr>
          <w:rFonts w:hint="eastAsia" w:ascii="宋体" w:hAnsi="宋体"/>
          <w:color w:val="auto"/>
          <w:szCs w:val="21"/>
          <w:highlight w:val="none"/>
        </w:rPr>
        <w:t>。</w:t>
      </w:r>
    </w:p>
    <w:p>
      <w:pPr>
        <w:spacing w:line="340" w:lineRule="exact"/>
        <w:ind w:firstLine="420" w:firstLineChars="200"/>
        <w:rPr>
          <w:rFonts w:ascii="宋体" w:hAnsi="宋体"/>
          <w:color w:val="auto"/>
          <w:szCs w:val="21"/>
          <w:highlight w:val="none"/>
        </w:rPr>
      </w:pPr>
      <w:r>
        <w:rPr>
          <w:rFonts w:hint="eastAsia" w:ascii="宋体" w:hAnsi="宋体"/>
          <w:color w:val="auto"/>
          <w:szCs w:val="21"/>
          <w:highlight w:val="none"/>
        </w:rPr>
        <w:t>5．投标工作和联合体在中标后工程实施过程中的有关费用按各自承担的工作量分摊。</w:t>
      </w:r>
    </w:p>
    <w:p>
      <w:pPr>
        <w:spacing w:line="340" w:lineRule="exact"/>
        <w:ind w:firstLine="420" w:firstLineChars="200"/>
        <w:rPr>
          <w:rFonts w:ascii="宋体" w:hAnsi="宋体"/>
          <w:color w:val="auto"/>
          <w:szCs w:val="21"/>
          <w:highlight w:val="none"/>
        </w:rPr>
      </w:pPr>
      <w:r>
        <w:rPr>
          <w:rFonts w:hint="eastAsia" w:ascii="宋体" w:hAnsi="宋体"/>
          <w:color w:val="auto"/>
          <w:szCs w:val="21"/>
          <w:highlight w:val="none"/>
        </w:rPr>
        <w:t>6．联合体中标后，本联合体协议是合同的附件，对联合体各成员单位有合同约束力。</w:t>
      </w:r>
    </w:p>
    <w:p>
      <w:pPr>
        <w:spacing w:line="340" w:lineRule="exact"/>
        <w:ind w:firstLine="420" w:firstLineChars="200"/>
        <w:rPr>
          <w:rFonts w:ascii="宋体" w:hAnsi="宋体"/>
          <w:color w:val="auto"/>
          <w:szCs w:val="21"/>
          <w:highlight w:val="none"/>
        </w:rPr>
      </w:pPr>
      <w:r>
        <w:rPr>
          <w:rFonts w:hint="eastAsia" w:ascii="宋体" w:hAnsi="宋体"/>
          <w:color w:val="auto"/>
          <w:szCs w:val="21"/>
          <w:highlight w:val="none"/>
        </w:rPr>
        <w:t>7．本协议书自签署之日起生效，联合体未中标或者中标时合同履行完毕后自动失效。</w:t>
      </w:r>
    </w:p>
    <w:p>
      <w:pPr>
        <w:spacing w:line="340" w:lineRule="exact"/>
        <w:ind w:firstLine="420" w:firstLineChars="200"/>
        <w:rPr>
          <w:rFonts w:ascii="宋体" w:hAnsi="宋体"/>
          <w:color w:val="auto"/>
          <w:szCs w:val="21"/>
          <w:highlight w:val="none"/>
        </w:rPr>
      </w:pPr>
      <w:r>
        <w:rPr>
          <w:rFonts w:hint="eastAsia" w:ascii="宋体" w:hAnsi="宋体"/>
          <w:color w:val="auto"/>
          <w:szCs w:val="21"/>
          <w:highlight w:val="none"/>
        </w:rPr>
        <w:t>8．本协议书一式</w:t>
      </w:r>
      <w:r>
        <w:rPr>
          <w:rFonts w:hint="eastAsia" w:ascii="宋体" w:hAnsi="宋体"/>
          <w:color w:val="auto"/>
          <w:szCs w:val="21"/>
          <w:highlight w:val="none"/>
          <w:u w:val="single"/>
        </w:rPr>
        <w:t xml:space="preserve">            </w:t>
      </w:r>
      <w:r>
        <w:rPr>
          <w:rFonts w:hint="eastAsia" w:ascii="宋体" w:hAnsi="宋体"/>
          <w:color w:val="auto"/>
          <w:szCs w:val="21"/>
          <w:highlight w:val="none"/>
        </w:rPr>
        <w:t>份，联合体成员和招标人各执一份。</w:t>
      </w:r>
    </w:p>
    <w:p>
      <w:pPr>
        <w:spacing w:line="340" w:lineRule="exact"/>
        <w:ind w:firstLine="1260" w:firstLineChars="600"/>
        <w:rPr>
          <w:rFonts w:ascii="宋体" w:hAnsi="宋体"/>
          <w:color w:val="auto"/>
          <w:szCs w:val="21"/>
          <w:highlight w:val="none"/>
        </w:rPr>
      </w:pPr>
      <w:r>
        <w:rPr>
          <w:rFonts w:hint="eastAsia" w:ascii="宋体" w:hAnsi="宋体"/>
          <w:color w:val="auto"/>
          <w:szCs w:val="21"/>
          <w:highlight w:val="none"/>
        </w:rPr>
        <w:t>牵头人名称：</w:t>
      </w:r>
      <w:r>
        <w:rPr>
          <w:rFonts w:hint="eastAsia" w:ascii="宋体" w:hAnsi="宋体"/>
          <w:color w:val="auto"/>
          <w:szCs w:val="21"/>
          <w:highlight w:val="none"/>
          <w:u w:val="single"/>
        </w:rPr>
        <w:t xml:space="preserve">                           </w:t>
      </w:r>
      <w:r>
        <w:rPr>
          <w:rFonts w:hint="eastAsia" w:ascii="宋体" w:hAnsi="宋体"/>
          <w:color w:val="auto"/>
          <w:szCs w:val="21"/>
          <w:highlight w:val="none"/>
        </w:rPr>
        <w:t>（盖单位公章）</w:t>
      </w:r>
    </w:p>
    <w:p>
      <w:pPr>
        <w:spacing w:line="340" w:lineRule="exact"/>
        <w:ind w:firstLine="1260" w:firstLineChars="600"/>
        <w:rPr>
          <w:rFonts w:ascii="宋体" w:hAnsi="宋体"/>
          <w:color w:val="auto"/>
          <w:szCs w:val="21"/>
          <w:highlight w:val="none"/>
        </w:rPr>
      </w:pPr>
      <w:r>
        <w:rPr>
          <w:rFonts w:hint="eastAsia" w:ascii="宋体" w:hAnsi="宋体"/>
          <w:color w:val="auto"/>
          <w:szCs w:val="21"/>
          <w:highlight w:val="none"/>
        </w:rPr>
        <w:t>法定代表人或其委托代理人：</w:t>
      </w:r>
      <w:r>
        <w:rPr>
          <w:rFonts w:hint="eastAsia" w:ascii="宋体" w:hAnsi="宋体"/>
          <w:color w:val="auto"/>
          <w:szCs w:val="21"/>
          <w:highlight w:val="none"/>
          <w:u w:val="single"/>
        </w:rPr>
        <w:t xml:space="preserve">            </w:t>
      </w:r>
      <w:r>
        <w:rPr>
          <w:rFonts w:hint="eastAsia" w:ascii="宋体" w:hAnsi="宋体"/>
          <w:color w:val="auto"/>
          <w:szCs w:val="21"/>
          <w:highlight w:val="none"/>
        </w:rPr>
        <w:t>（签字或盖章）</w:t>
      </w:r>
    </w:p>
    <w:p>
      <w:pPr>
        <w:spacing w:line="340" w:lineRule="exact"/>
        <w:ind w:firstLine="1785" w:firstLineChars="850"/>
        <w:rPr>
          <w:rFonts w:ascii="宋体" w:hAnsi="宋体"/>
          <w:color w:val="auto"/>
          <w:szCs w:val="21"/>
          <w:highlight w:val="none"/>
        </w:rPr>
      </w:pPr>
    </w:p>
    <w:p>
      <w:pPr>
        <w:spacing w:line="340" w:lineRule="exact"/>
        <w:ind w:firstLine="1260" w:firstLineChars="600"/>
        <w:rPr>
          <w:rFonts w:ascii="宋体" w:hAnsi="宋体"/>
          <w:color w:val="auto"/>
          <w:szCs w:val="21"/>
          <w:highlight w:val="none"/>
        </w:rPr>
      </w:pPr>
      <w:r>
        <w:rPr>
          <w:rFonts w:hint="eastAsia" w:ascii="宋体" w:hAnsi="宋体"/>
          <w:color w:val="auto"/>
          <w:szCs w:val="21"/>
          <w:highlight w:val="none"/>
        </w:rPr>
        <w:t>成员二名称：</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  （盖单位公章）</w:t>
      </w:r>
    </w:p>
    <w:p>
      <w:pPr>
        <w:spacing w:line="340" w:lineRule="exact"/>
        <w:ind w:firstLine="1260" w:firstLineChars="600"/>
        <w:rPr>
          <w:rFonts w:ascii="宋体" w:hAnsi="宋体"/>
          <w:color w:val="auto"/>
          <w:szCs w:val="21"/>
          <w:highlight w:val="none"/>
        </w:rPr>
      </w:pPr>
      <w:r>
        <w:rPr>
          <w:rFonts w:hint="eastAsia" w:ascii="宋体" w:hAnsi="宋体"/>
          <w:color w:val="auto"/>
          <w:szCs w:val="21"/>
          <w:highlight w:val="none"/>
        </w:rPr>
        <w:t>法定代表人或其委托代理人：</w:t>
      </w:r>
      <w:r>
        <w:rPr>
          <w:rFonts w:hint="eastAsia" w:ascii="宋体" w:hAnsi="宋体"/>
          <w:color w:val="auto"/>
          <w:szCs w:val="21"/>
          <w:highlight w:val="none"/>
          <w:u w:val="single"/>
        </w:rPr>
        <w:t xml:space="preserve">                         </w:t>
      </w:r>
      <w:r>
        <w:rPr>
          <w:rFonts w:hint="eastAsia" w:ascii="宋体" w:hAnsi="宋体"/>
          <w:color w:val="auto"/>
          <w:szCs w:val="21"/>
          <w:highlight w:val="none"/>
        </w:rPr>
        <w:t>（签字或盖章）</w:t>
      </w:r>
    </w:p>
    <w:p>
      <w:pPr>
        <w:spacing w:line="340" w:lineRule="exact"/>
        <w:ind w:firstLine="2100" w:firstLineChars="1000"/>
        <w:rPr>
          <w:rFonts w:ascii="宋体" w:hAnsi="宋体"/>
          <w:color w:val="auto"/>
          <w:szCs w:val="21"/>
          <w:highlight w:val="none"/>
        </w:rPr>
      </w:pPr>
    </w:p>
    <w:p>
      <w:pPr>
        <w:spacing w:line="340" w:lineRule="exact"/>
        <w:jc w:val="right"/>
        <w:rPr>
          <w:rFonts w:ascii="宋体" w:hAnsi="宋体"/>
          <w:color w:val="auto"/>
          <w:szCs w:val="21"/>
          <w:highlight w:val="none"/>
        </w:rPr>
      </w:pPr>
      <w:r>
        <w:rPr>
          <w:rFonts w:hint="eastAsia" w:ascii="宋体" w:hAnsi="宋体"/>
          <w:color w:val="auto"/>
          <w:szCs w:val="21"/>
          <w:highlight w:val="none"/>
          <w:u w:val="single"/>
        </w:rPr>
        <w:t xml:space="preserve">        </w:t>
      </w:r>
      <w:r>
        <w:rPr>
          <w:rFonts w:hint="eastAsia" w:ascii="宋体" w:hAnsi="宋体"/>
          <w:color w:val="auto"/>
          <w:szCs w:val="21"/>
          <w:highlight w:val="none"/>
        </w:rPr>
        <w:t>年</w:t>
      </w:r>
      <w:r>
        <w:rPr>
          <w:rFonts w:hint="eastAsia" w:ascii="宋体" w:hAnsi="宋体"/>
          <w:color w:val="auto"/>
          <w:szCs w:val="21"/>
          <w:highlight w:val="none"/>
          <w:u w:val="single"/>
        </w:rPr>
        <w:t xml:space="preserve">        </w:t>
      </w:r>
      <w:r>
        <w:rPr>
          <w:rFonts w:hint="eastAsia" w:ascii="宋体" w:hAnsi="宋体"/>
          <w:color w:val="auto"/>
          <w:szCs w:val="21"/>
          <w:highlight w:val="none"/>
        </w:rPr>
        <w:t>月</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日           </w:t>
      </w:r>
    </w:p>
    <w:p>
      <w:pPr>
        <w:spacing w:line="340" w:lineRule="exact"/>
        <w:jc w:val="center"/>
        <w:rPr>
          <w:rFonts w:ascii="黑体" w:hAnsi="宋体" w:eastAsia="黑体"/>
          <w:color w:val="auto"/>
          <w:szCs w:val="21"/>
          <w:highlight w:val="none"/>
        </w:rPr>
      </w:pPr>
    </w:p>
    <w:p>
      <w:pPr>
        <w:spacing w:line="340" w:lineRule="exact"/>
        <w:jc w:val="center"/>
        <w:rPr>
          <w:rFonts w:ascii="宋体" w:hAnsi="宋体"/>
          <w:color w:val="auto"/>
          <w:szCs w:val="21"/>
          <w:highlight w:val="none"/>
        </w:rPr>
      </w:pPr>
      <w:r>
        <w:rPr>
          <w:rFonts w:hint="eastAsia" w:ascii="黑体" w:hAnsi="宋体" w:eastAsia="黑体"/>
          <w:color w:val="auto"/>
          <w:szCs w:val="21"/>
          <w:highlight w:val="none"/>
        </w:rPr>
        <w:t>备注：1、</w:t>
      </w:r>
      <w:r>
        <w:rPr>
          <w:rFonts w:hint="eastAsia" w:ascii="宋体" w:hAnsi="宋体"/>
          <w:color w:val="auto"/>
          <w:szCs w:val="21"/>
          <w:highlight w:val="none"/>
        </w:rPr>
        <w:t>本协议书由委托代理人签字的，应附法定代表人签字的联合协议签署授权委托书。</w:t>
      </w:r>
    </w:p>
    <w:p>
      <w:pPr>
        <w:pStyle w:val="3"/>
        <w:rPr>
          <w:rFonts w:ascii="宋体" w:hAnsi="宋体"/>
          <w:color w:val="auto"/>
          <w:szCs w:val="21"/>
          <w:highlight w:val="none"/>
        </w:rPr>
      </w:pPr>
    </w:p>
    <w:p>
      <w:pPr>
        <w:pStyle w:val="23"/>
        <w:rPr>
          <w:rFonts w:ascii="宋体" w:hAnsi="宋体"/>
          <w:color w:val="auto"/>
          <w:szCs w:val="21"/>
          <w:highlight w:val="none"/>
        </w:rPr>
      </w:pPr>
    </w:p>
    <w:p>
      <w:pPr>
        <w:rPr>
          <w:rFonts w:ascii="宋体" w:hAnsi="宋体"/>
          <w:color w:val="auto"/>
          <w:szCs w:val="21"/>
          <w:highlight w:val="none"/>
        </w:rPr>
      </w:pPr>
    </w:p>
    <w:p>
      <w:pPr>
        <w:pStyle w:val="3"/>
        <w:rPr>
          <w:color w:val="auto"/>
          <w:highlight w:val="none"/>
        </w:rPr>
      </w:pPr>
    </w:p>
    <w:p>
      <w:pPr>
        <w:rPr>
          <w:color w:val="auto"/>
          <w:highlight w:val="none"/>
        </w:rPr>
      </w:pPr>
    </w:p>
    <w:p>
      <w:pPr>
        <w:spacing w:line="360" w:lineRule="auto"/>
        <w:ind w:firstLine="210"/>
        <w:rPr>
          <w:rFonts w:asciiTheme="minorEastAsia" w:hAnsiTheme="minorEastAsia" w:eastAsiaTheme="minorEastAsia" w:cstheme="minorEastAsia"/>
          <w:color w:val="auto"/>
          <w:sz w:val="24"/>
          <w:szCs w:val="24"/>
          <w:highlight w:val="none"/>
        </w:rPr>
      </w:pPr>
    </w:p>
    <w:p>
      <w:pPr>
        <w:spacing w:line="400" w:lineRule="exact"/>
        <w:ind w:firstLine="210"/>
        <w:jc w:val="center"/>
        <w:rPr>
          <w:rFonts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t>项目名称：</w:t>
      </w:r>
      <w:r>
        <w:rPr>
          <w:rFonts w:hint="eastAsia" w:asciiTheme="minorEastAsia" w:hAnsiTheme="minorEastAsia" w:eastAsiaTheme="minorEastAsia" w:cstheme="minorEastAsia"/>
          <w:color w:val="auto"/>
          <w:sz w:val="32"/>
          <w:szCs w:val="32"/>
          <w:highlight w:val="none"/>
          <w:u w:val="single"/>
        </w:rPr>
        <w:t xml:space="preserve">                          </w:t>
      </w:r>
      <w:r>
        <w:rPr>
          <w:rFonts w:hint="eastAsia" w:asciiTheme="minorEastAsia" w:hAnsiTheme="minorEastAsia" w:eastAsiaTheme="minorEastAsia" w:cstheme="minorEastAsia"/>
          <w:color w:val="auto"/>
          <w:sz w:val="32"/>
          <w:szCs w:val="32"/>
          <w:highlight w:val="none"/>
        </w:rPr>
        <w:t>项目</w:t>
      </w:r>
    </w:p>
    <w:p>
      <w:pPr>
        <w:spacing w:line="400" w:lineRule="exact"/>
        <w:ind w:firstLine="210"/>
        <w:jc w:val="center"/>
        <w:rPr>
          <w:rFonts w:asciiTheme="minorEastAsia" w:hAnsiTheme="minorEastAsia" w:eastAsiaTheme="minorEastAsia" w:cstheme="minorEastAsia"/>
          <w:color w:val="auto"/>
          <w:sz w:val="32"/>
          <w:szCs w:val="32"/>
          <w:highlight w:val="none"/>
        </w:rPr>
      </w:pPr>
    </w:p>
    <w:p>
      <w:pPr>
        <w:spacing w:line="400" w:lineRule="exact"/>
        <w:ind w:firstLine="210"/>
        <w:jc w:val="center"/>
        <w:rPr>
          <w:rFonts w:asciiTheme="minorEastAsia" w:hAnsiTheme="minorEastAsia" w:eastAsiaTheme="minorEastAsia" w:cstheme="minorEastAsia"/>
          <w:color w:val="auto"/>
          <w:sz w:val="32"/>
          <w:szCs w:val="32"/>
          <w:highlight w:val="none"/>
        </w:rPr>
      </w:pPr>
    </w:p>
    <w:p>
      <w:pPr>
        <w:spacing w:line="400" w:lineRule="exact"/>
        <w:ind w:firstLine="210"/>
        <w:jc w:val="center"/>
        <w:rPr>
          <w:rFonts w:asciiTheme="minorEastAsia" w:hAnsiTheme="minorEastAsia" w:eastAsiaTheme="minorEastAsia" w:cstheme="minorEastAsia"/>
          <w:color w:val="auto"/>
          <w:sz w:val="32"/>
          <w:szCs w:val="32"/>
          <w:highlight w:val="none"/>
        </w:rPr>
      </w:pPr>
    </w:p>
    <w:p>
      <w:pPr>
        <w:spacing w:line="400" w:lineRule="exact"/>
        <w:ind w:firstLine="210"/>
        <w:jc w:val="center"/>
        <w:rPr>
          <w:rFonts w:asciiTheme="minorEastAsia" w:hAnsiTheme="minorEastAsia" w:eastAsiaTheme="minorEastAsia" w:cstheme="minorEastAsia"/>
          <w:color w:val="auto"/>
          <w:sz w:val="32"/>
          <w:szCs w:val="32"/>
          <w:highlight w:val="none"/>
        </w:rPr>
      </w:pPr>
    </w:p>
    <w:p>
      <w:pPr>
        <w:spacing w:line="400" w:lineRule="exact"/>
        <w:ind w:firstLine="210"/>
        <w:jc w:val="center"/>
        <w:rPr>
          <w:rFonts w:asciiTheme="minorEastAsia" w:hAnsiTheme="minorEastAsia" w:eastAsiaTheme="minorEastAsia" w:cstheme="minorEastAsia"/>
          <w:color w:val="auto"/>
          <w:sz w:val="32"/>
          <w:szCs w:val="32"/>
          <w:highlight w:val="none"/>
        </w:rPr>
      </w:pPr>
    </w:p>
    <w:p>
      <w:pPr>
        <w:spacing w:line="400" w:lineRule="exact"/>
        <w:ind w:firstLine="210"/>
        <w:jc w:val="center"/>
        <w:rPr>
          <w:rFonts w:asciiTheme="minorEastAsia" w:hAnsiTheme="minorEastAsia" w:eastAsiaTheme="minorEastAsia" w:cstheme="minorEastAsia"/>
          <w:color w:val="auto"/>
          <w:sz w:val="32"/>
          <w:szCs w:val="32"/>
          <w:highlight w:val="none"/>
        </w:rPr>
      </w:pPr>
    </w:p>
    <w:p>
      <w:pPr>
        <w:spacing w:line="400" w:lineRule="exact"/>
        <w:ind w:firstLine="210"/>
        <w:jc w:val="center"/>
        <w:rPr>
          <w:rFonts w:asciiTheme="minorEastAsia" w:hAnsiTheme="minorEastAsia" w:eastAsiaTheme="minorEastAsia" w:cstheme="minorEastAsia"/>
          <w:color w:val="auto"/>
          <w:sz w:val="32"/>
          <w:szCs w:val="32"/>
          <w:highlight w:val="none"/>
        </w:rPr>
      </w:pPr>
    </w:p>
    <w:p>
      <w:pPr>
        <w:spacing w:line="400" w:lineRule="exact"/>
        <w:ind w:firstLine="210"/>
        <w:jc w:val="center"/>
        <w:rPr>
          <w:rFonts w:asciiTheme="minorEastAsia" w:hAnsiTheme="minorEastAsia" w:eastAsiaTheme="minorEastAsia" w:cstheme="minorEastAsia"/>
          <w:color w:val="auto"/>
          <w:sz w:val="32"/>
          <w:szCs w:val="32"/>
          <w:highlight w:val="none"/>
        </w:rPr>
      </w:pPr>
    </w:p>
    <w:p>
      <w:pPr>
        <w:spacing w:line="480" w:lineRule="auto"/>
        <w:ind w:firstLine="210"/>
        <w:jc w:val="center"/>
        <w:rPr>
          <w:rFonts w:asciiTheme="minorEastAsia" w:hAnsiTheme="minorEastAsia" w:eastAsiaTheme="minorEastAsia" w:cstheme="minorEastAsia"/>
          <w:color w:val="auto"/>
          <w:sz w:val="44"/>
          <w:szCs w:val="44"/>
          <w:highlight w:val="none"/>
        </w:rPr>
      </w:pPr>
      <w:r>
        <w:rPr>
          <w:rFonts w:hint="eastAsia" w:asciiTheme="minorEastAsia" w:hAnsiTheme="minorEastAsia" w:eastAsiaTheme="minorEastAsia" w:cstheme="minorEastAsia"/>
          <w:color w:val="auto"/>
          <w:sz w:val="44"/>
          <w:szCs w:val="44"/>
          <w:highlight w:val="none"/>
        </w:rPr>
        <w:t>投标文件</w:t>
      </w:r>
    </w:p>
    <w:p>
      <w:pPr>
        <w:spacing w:line="480" w:lineRule="auto"/>
        <w:ind w:firstLine="210"/>
        <w:jc w:val="center"/>
        <w:rPr>
          <w:rFonts w:asciiTheme="minorEastAsia" w:hAnsiTheme="minorEastAsia" w:eastAsiaTheme="minorEastAsia" w:cstheme="minorEastAsia"/>
          <w:color w:val="auto"/>
          <w:sz w:val="44"/>
          <w:szCs w:val="44"/>
          <w:highlight w:val="none"/>
        </w:rPr>
      </w:pPr>
    </w:p>
    <w:p>
      <w:pPr>
        <w:spacing w:line="480" w:lineRule="auto"/>
        <w:ind w:firstLine="210"/>
        <w:jc w:val="center"/>
        <w:rPr>
          <w:rFonts w:asciiTheme="minorEastAsia" w:hAnsiTheme="minorEastAsia" w:eastAsiaTheme="minorEastAsia" w:cstheme="minorEastAsia"/>
          <w:color w:val="auto"/>
          <w:sz w:val="44"/>
          <w:szCs w:val="44"/>
          <w:highlight w:val="none"/>
        </w:rPr>
      </w:pPr>
    </w:p>
    <w:p>
      <w:pPr>
        <w:spacing w:line="480" w:lineRule="auto"/>
        <w:ind w:firstLine="210"/>
        <w:jc w:val="center"/>
        <w:rPr>
          <w:rFonts w:asciiTheme="minorEastAsia" w:hAnsiTheme="minorEastAsia" w:eastAsiaTheme="minorEastAsia" w:cstheme="minorEastAsia"/>
          <w:color w:val="auto"/>
          <w:sz w:val="44"/>
          <w:szCs w:val="44"/>
          <w:highlight w:val="none"/>
        </w:rPr>
      </w:pPr>
    </w:p>
    <w:p>
      <w:pPr>
        <w:spacing w:line="480" w:lineRule="auto"/>
        <w:ind w:firstLine="210"/>
        <w:jc w:val="center"/>
        <w:rPr>
          <w:rFonts w:asciiTheme="minorEastAsia" w:hAnsiTheme="minorEastAsia" w:eastAsiaTheme="minorEastAsia" w:cstheme="minorEastAsia"/>
          <w:color w:val="auto"/>
          <w:sz w:val="44"/>
          <w:szCs w:val="44"/>
          <w:highlight w:val="none"/>
        </w:rPr>
      </w:pPr>
    </w:p>
    <w:p>
      <w:pPr>
        <w:spacing w:line="360" w:lineRule="auto"/>
        <w:ind w:firstLine="210"/>
        <w:rPr>
          <w:rFonts w:asciiTheme="minorEastAsia" w:hAnsiTheme="minorEastAsia" w:eastAsiaTheme="minorEastAsia" w:cstheme="minorEastAsia"/>
          <w:color w:val="auto"/>
          <w:sz w:val="28"/>
          <w:szCs w:val="28"/>
          <w:highlight w:val="none"/>
          <w:u w:val="single"/>
        </w:rPr>
      </w:pPr>
      <w:r>
        <w:rPr>
          <w:rFonts w:hint="eastAsia" w:asciiTheme="minorEastAsia" w:hAnsiTheme="minorEastAsia" w:eastAsiaTheme="minorEastAsia" w:cstheme="minorEastAsia"/>
          <w:color w:val="auto"/>
          <w:sz w:val="28"/>
          <w:szCs w:val="28"/>
          <w:highlight w:val="none"/>
        </w:rPr>
        <w:t xml:space="preserve">投标文件内容: </w:t>
      </w:r>
      <w:r>
        <w:rPr>
          <w:rFonts w:hint="eastAsia" w:asciiTheme="minorEastAsia" w:hAnsiTheme="minorEastAsia" w:eastAsiaTheme="minorEastAsia" w:cstheme="minorEastAsia"/>
          <w:color w:val="auto"/>
          <w:sz w:val="28"/>
          <w:szCs w:val="28"/>
          <w:highlight w:val="none"/>
          <w:u w:val="single"/>
        </w:rPr>
        <w:t xml:space="preserve">    技术标</w:t>
      </w:r>
    </w:p>
    <w:p>
      <w:pPr>
        <w:spacing w:line="360" w:lineRule="auto"/>
        <w:ind w:firstLine="210"/>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投标人：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（盖章）</w:t>
      </w:r>
    </w:p>
    <w:p>
      <w:pPr>
        <w:spacing w:line="360" w:lineRule="auto"/>
        <w:ind w:firstLine="210"/>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法定代表人：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（签字或盖章）</w:t>
      </w:r>
    </w:p>
    <w:p>
      <w:pPr>
        <w:pStyle w:val="2"/>
        <w:ind w:firstLine="280"/>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日期：</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年</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月</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日</w:t>
      </w:r>
    </w:p>
    <w:p>
      <w:pPr>
        <w:pStyle w:val="2"/>
        <w:ind w:firstLine="280"/>
        <w:rPr>
          <w:rFonts w:asciiTheme="minorEastAsia" w:hAnsiTheme="minorEastAsia" w:eastAsiaTheme="minorEastAsia" w:cstheme="minorEastAsia"/>
          <w:color w:val="auto"/>
          <w:sz w:val="28"/>
          <w:szCs w:val="28"/>
          <w:highlight w:val="none"/>
        </w:rPr>
      </w:pPr>
    </w:p>
    <w:p>
      <w:pPr>
        <w:pStyle w:val="2"/>
        <w:ind w:firstLine="280"/>
        <w:rPr>
          <w:rFonts w:asciiTheme="minorEastAsia" w:hAnsiTheme="minorEastAsia" w:eastAsiaTheme="minorEastAsia" w:cstheme="minorEastAsia"/>
          <w:color w:val="auto"/>
          <w:sz w:val="28"/>
          <w:szCs w:val="28"/>
          <w:highlight w:val="none"/>
        </w:rPr>
      </w:pPr>
    </w:p>
    <w:p>
      <w:pPr>
        <w:pStyle w:val="2"/>
        <w:ind w:firstLine="280"/>
        <w:rPr>
          <w:rFonts w:asciiTheme="minorEastAsia" w:hAnsiTheme="minorEastAsia" w:eastAsiaTheme="minorEastAsia" w:cstheme="minorEastAsia"/>
          <w:color w:val="auto"/>
          <w:sz w:val="28"/>
          <w:szCs w:val="28"/>
          <w:highlight w:val="none"/>
        </w:rPr>
      </w:pPr>
    </w:p>
    <w:p>
      <w:pPr>
        <w:spacing w:line="360" w:lineRule="auto"/>
        <w:ind w:firstLine="210"/>
        <w:rPr>
          <w:rFonts w:asciiTheme="minorEastAsia" w:hAnsiTheme="minorEastAsia" w:eastAsiaTheme="minorEastAsia" w:cstheme="minorEastAsia"/>
          <w:color w:val="auto"/>
          <w:sz w:val="24"/>
          <w:szCs w:val="24"/>
          <w:highlight w:val="none"/>
        </w:rPr>
      </w:pPr>
    </w:p>
    <w:p>
      <w:pPr>
        <w:spacing w:line="360" w:lineRule="auto"/>
        <w:ind w:firstLine="210"/>
        <w:rPr>
          <w:rFonts w:asciiTheme="minorEastAsia" w:hAnsiTheme="minorEastAsia" w:eastAsiaTheme="minorEastAsia" w:cstheme="minorEastAsia"/>
          <w:color w:val="auto"/>
          <w:sz w:val="24"/>
          <w:szCs w:val="24"/>
          <w:highlight w:val="none"/>
        </w:rPr>
      </w:pPr>
    </w:p>
    <w:p>
      <w:pPr>
        <w:spacing w:line="360" w:lineRule="auto"/>
        <w:ind w:firstLine="210"/>
        <w:rPr>
          <w:rFonts w:asciiTheme="minorEastAsia" w:hAnsiTheme="minorEastAsia" w:eastAsiaTheme="minorEastAsia" w:cstheme="minorEastAsia"/>
          <w:color w:val="auto"/>
          <w:sz w:val="24"/>
          <w:szCs w:val="24"/>
          <w:highlight w:val="none"/>
        </w:rPr>
      </w:pPr>
    </w:p>
    <w:p>
      <w:pPr>
        <w:pStyle w:val="5"/>
        <w:spacing w:before="120" w:after="120" w:line="400" w:lineRule="exact"/>
        <w:rPr>
          <w:rFonts w:asciiTheme="minorEastAsia" w:hAnsiTheme="minorEastAsia" w:eastAsiaTheme="minorEastAsia" w:cstheme="minorEastAsia"/>
          <w:b w:val="0"/>
          <w:bCs w:val="0"/>
          <w:color w:val="auto"/>
          <w:sz w:val="24"/>
          <w:szCs w:val="24"/>
          <w:highlight w:val="none"/>
        </w:rPr>
      </w:pPr>
      <w:r>
        <w:rPr>
          <w:rFonts w:hint="eastAsia" w:asciiTheme="minorEastAsia" w:hAnsiTheme="minorEastAsia" w:eastAsiaTheme="minorEastAsia" w:cstheme="minorEastAsia"/>
          <w:b w:val="0"/>
          <w:bCs w:val="0"/>
          <w:color w:val="auto"/>
          <w:sz w:val="24"/>
          <w:szCs w:val="24"/>
          <w:highlight w:val="none"/>
        </w:rPr>
        <w:t>投标人提供的评审打分资料一览表</w:t>
      </w:r>
    </w:p>
    <w:p>
      <w:pPr>
        <w:adjustRightInd w:val="0"/>
        <w:snapToGrid w:val="0"/>
        <w:rPr>
          <w:rFonts w:asciiTheme="minorEastAsia" w:hAnsiTheme="minorEastAsia" w:eastAsiaTheme="minorEastAsia" w:cstheme="minorEastAsia"/>
          <w:b/>
          <w:color w:val="auto"/>
          <w:sz w:val="24"/>
          <w:szCs w:val="24"/>
          <w:highlight w:val="none"/>
        </w:rPr>
      </w:pPr>
    </w:p>
    <w:tbl>
      <w:tblPr>
        <w:tblStyle w:val="27"/>
        <w:tblW w:w="985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42"/>
        <w:gridCol w:w="5327"/>
        <w:gridCol w:w="1477"/>
        <w:gridCol w:w="180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1242" w:type="dxa"/>
            <w:vAlign w:val="center"/>
          </w:tcPr>
          <w:p>
            <w:pPr>
              <w:adjustRightInd w:val="0"/>
              <w:snapToGrid w:val="0"/>
              <w:ind w:firstLine="280"/>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序号</w:t>
            </w:r>
          </w:p>
        </w:tc>
        <w:tc>
          <w:tcPr>
            <w:tcW w:w="5327" w:type="dxa"/>
            <w:vAlign w:val="center"/>
          </w:tcPr>
          <w:p>
            <w:pPr>
              <w:adjustRightInd w:val="0"/>
              <w:snapToGrid w:val="0"/>
              <w:ind w:firstLine="280"/>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资料名称</w:t>
            </w:r>
          </w:p>
        </w:tc>
        <w:tc>
          <w:tcPr>
            <w:tcW w:w="1477" w:type="dxa"/>
            <w:vAlign w:val="center"/>
          </w:tcPr>
          <w:p>
            <w:pPr>
              <w:adjustRightInd w:val="0"/>
              <w:snapToGrid w:val="0"/>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共 页</w:t>
            </w:r>
          </w:p>
        </w:tc>
        <w:tc>
          <w:tcPr>
            <w:tcW w:w="1808" w:type="dxa"/>
            <w:vAlign w:val="center"/>
          </w:tcPr>
          <w:p>
            <w:pPr>
              <w:adjustRightInd w:val="0"/>
              <w:snapToGrid w:val="0"/>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备  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1242" w:type="dxa"/>
            <w:vAlign w:val="center"/>
          </w:tcPr>
          <w:p>
            <w:pPr>
              <w:adjustRightInd w:val="0"/>
              <w:snapToGrid w:val="0"/>
              <w:ind w:firstLine="280"/>
              <w:jc w:val="center"/>
              <w:rPr>
                <w:rFonts w:asciiTheme="minorEastAsia" w:hAnsiTheme="minorEastAsia" w:eastAsiaTheme="minorEastAsia" w:cstheme="minorEastAsia"/>
                <w:color w:val="auto"/>
                <w:sz w:val="24"/>
                <w:szCs w:val="24"/>
                <w:highlight w:val="none"/>
              </w:rPr>
            </w:pPr>
          </w:p>
        </w:tc>
        <w:tc>
          <w:tcPr>
            <w:tcW w:w="5327" w:type="dxa"/>
            <w:vAlign w:val="center"/>
          </w:tcPr>
          <w:p>
            <w:pPr>
              <w:adjustRightInd w:val="0"/>
              <w:snapToGrid w:val="0"/>
              <w:ind w:firstLine="280"/>
              <w:jc w:val="center"/>
              <w:rPr>
                <w:rFonts w:asciiTheme="minorEastAsia" w:hAnsiTheme="minorEastAsia" w:eastAsiaTheme="minorEastAsia" w:cstheme="minorEastAsia"/>
                <w:color w:val="auto"/>
                <w:sz w:val="24"/>
                <w:szCs w:val="24"/>
                <w:highlight w:val="none"/>
              </w:rPr>
            </w:pPr>
          </w:p>
        </w:tc>
        <w:tc>
          <w:tcPr>
            <w:tcW w:w="1477" w:type="dxa"/>
            <w:vAlign w:val="center"/>
          </w:tcPr>
          <w:p>
            <w:pPr>
              <w:adjustRightInd w:val="0"/>
              <w:snapToGrid w:val="0"/>
              <w:ind w:firstLine="280"/>
              <w:jc w:val="center"/>
              <w:rPr>
                <w:rFonts w:asciiTheme="minorEastAsia" w:hAnsiTheme="minorEastAsia" w:eastAsiaTheme="minorEastAsia" w:cstheme="minorEastAsia"/>
                <w:color w:val="auto"/>
                <w:sz w:val="24"/>
                <w:szCs w:val="24"/>
                <w:highlight w:val="none"/>
              </w:rPr>
            </w:pPr>
          </w:p>
        </w:tc>
        <w:tc>
          <w:tcPr>
            <w:tcW w:w="1808" w:type="dxa"/>
            <w:vAlign w:val="center"/>
          </w:tcPr>
          <w:p>
            <w:pPr>
              <w:adjustRightInd w:val="0"/>
              <w:snapToGrid w:val="0"/>
              <w:ind w:firstLine="280"/>
              <w:jc w:val="center"/>
              <w:rPr>
                <w:rFonts w:asciiTheme="minorEastAsia" w:hAnsiTheme="minorEastAsia" w:eastAsiaTheme="minorEastAsia" w:cstheme="minorEastAsia"/>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1242" w:type="dxa"/>
            <w:vAlign w:val="center"/>
          </w:tcPr>
          <w:p>
            <w:pPr>
              <w:adjustRightInd w:val="0"/>
              <w:snapToGrid w:val="0"/>
              <w:ind w:firstLine="280"/>
              <w:jc w:val="center"/>
              <w:rPr>
                <w:rFonts w:asciiTheme="minorEastAsia" w:hAnsiTheme="minorEastAsia" w:eastAsiaTheme="minorEastAsia" w:cstheme="minorEastAsia"/>
                <w:color w:val="auto"/>
                <w:sz w:val="24"/>
                <w:szCs w:val="24"/>
                <w:highlight w:val="none"/>
              </w:rPr>
            </w:pPr>
          </w:p>
        </w:tc>
        <w:tc>
          <w:tcPr>
            <w:tcW w:w="5327" w:type="dxa"/>
            <w:vAlign w:val="center"/>
          </w:tcPr>
          <w:p>
            <w:pPr>
              <w:adjustRightInd w:val="0"/>
              <w:snapToGrid w:val="0"/>
              <w:ind w:firstLine="280"/>
              <w:jc w:val="center"/>
              <w:rPr>
                <w:rFonts w:asciiTheme="minorEastAsia" w:hAnsiTheme="minorEastAsia" w:eastAsiaTheme="minorEastAsia" w:cstheme="minorEastAsia"/>
                <w:color w:val="auto"/>
                <w:sz w:val="24"/>
                <w:szCs w:val="24"/>
                <w:highlight w:val="none"/>
              </w:rPr>
            </w:pPr>
          </w:p>
        </w:tc>
        <w:tc>
          <w:tcPr>
            <w:tcW w:w="1477" w:type="dxa"/>
            <w:vAlign w:val="center"/>
          </w:tcPr>
          <w:p>
            <w:pPr>
              <w:adjustRightInd w:val="0"/>
              <w:snapToGrid w:val="0"/>
              <w:ind w:firstLine="280"/>
              <w:jc w:val="center"/>
              <w:rPr>
                <w:rFonts w:asciiTheme="minorEastAsia" w:hAnsiTheme="minorEastAsia" w:eastAsiaTheme="minorEastAsia" w:cstheme="minorEastAsia"/>
                <w:color w:val="auto"/>
                <w:sz w:val="24"/>
                <w:szCs w:val="24"/>
                <w:highlight w:val="none"/>
              </w:rPr>
            </w:pPr>
          </w:p>
        </w:tc>
        <w:tc>
          <w:tcPr>
            <w:tcW w:w="1808" w:type="dxa"/>
            <w:vAlign w:val="center"/>
          </w:tcPr>
          <w:p>
            <w:pPr>
              <w:adjustRightInd w:val="0"/>
              <w:snapToGrid w:val="0"/>
              <w:ind w:firstLine="280"/>
              <w:jc w:val="center"/>
              <w:rPr>
                <w:rFonts w:asciiTheme="minorEastAsia" w:hAnsiTheme="minorEastAsia" w:eastAsiaTheme="minorEastAsia" w:cstheme="minorEastAsia"/>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1242" w:type="dxa"/>
            <w:vAlign w:val="center"/>
          </w:tcPr>
          <w:p>
            <w:pPr>
              <w:adjustRightInd w:val="0"/>
              <w:snapToGrid w:val="0"/>
              <w:ind w:firstLine="280"/>
              <w:jc w:val="center"/>
              <w:rPr>
                <w:rFonts w:asciiTheme="minorEastAsia" w:hAnsiTheme="minorEastAsia" w:eastAsiaTheme="minorEastAsia" w:cstheme="minorEastAsia"/>
                <w:color w:val="auto"/>
                <w:sz w:val="24"/>
                <w:szCs w:val="24"/>
                <w:highlight w:val="none"/>
              </w:rPr>
            </w:pPr>
          </w:p>
        </w:tc>
        <w:tc>
          <w:tcPr>
            <w:tcW w:w="5327" w:type="dxa"/>
            <w:vAlign w:val="center"/>
          </w:tcPr>
          <w:p>
            <w:pPr>
              <w:adjustRightInd w:val="0"/>
              <w:snapToGrid w:val="0"/>
              <w:ind w:firstLine="280"/>
              <w:jc w:val="center"/>
              <w:rPr>
                <w:rFonts w:asciiTheme="minorEastAsia" w:hAnsiTheme="minorEastAsia" w:eastAsiaTheme="minorEastAsia" w:cstheme="minorEastAsia"/>
                <w:color w:val="auto"/>
                <w:sz w:val="24"/>
                <w:szCs w:val="24"/>
                <w:highlight w:val="none"/>
              </w:rPr>
            </w:pPr>
          </w:p>
        </w:tc>
        <w:tc>
          <w:tcPr>
            <w:tcW w:w="1477" w:type="dxa"/>
            <w:vAlign w:val="center"/>
          </w:tcPr>
          <w:p>
            <w:pPr>
              <w:adjustRightInd w:val="0"/>
              <w:snapToGrid w:val="0"/>
              <w:ind w:firstLine="280"/>
              <w:jc w:val="center"/>
              <w:rPr>
                <w:rFonts w:asciiTheme="minorEastAsia" w:hAnsiTheme="minorEastAsia" w:eastAsiaTheme="minorEastAsia" w:cstheme="minorEastAsia"/>
                <w:color w:val="auto"/>
                <w:sz w:val="24"/>
                <w:szCs w:val="24"/>
                <w:highlight w:val="none"/>
              </w:rPr>
            </w:pPr>
          </w:p>
        </w:tc>
        <w:tc>
          <w:tcPr>
            <w:tcW w:w="1808" w:type="dxa"/>
            <w:vAlign w:val="center"/>
          </w:tcPr>
          <w:p>
            <w:pPr>
              <w:adjustRightInd w:val="0"/>
              <w:snapToGrid w:val="0"/>
              <w:ind w:firstLine="280"/>
              <w:jc w:val="center"/>
              <w:rPr>
                <w:rFonts w:asciiTheme="minorEastAsia" w:hAnsiTheme="minorEastAsia" w:eastAsiaTheme="minorEastAsia" w:cstheme="minorEastAsia"/>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1242" w:type="dxa"/>
            <w:vAlign w:val="center"/>
          </w:tcPr>
          <w:p>
            <w:pPr>
              <w:adjustRightInd w:val="0"/>
              <w:snapToGrid w:val="0"/>
              <w:ind w:firstLine="280"/>
              <w:jc w:val="center"/>
              <w:rPr>
                <w:rFonts w:asciiTheme="minorEastAsia" w:hAnsiTheme="minorEastAsia" w:eastAsiaTheme="minorEastAsia" w:cstheme="minorEastAsia"/>
                <w:color w:val="auto"/>
                <w:sz w:val="24"/>
                <w:szCs w:val="24"/>
                <w:highlight w:val="none"/>
              </w:rPr>
            </w:pPr>
          </w:p>
        </w:tc>
        <w:tc>
          <w:tcPr>
            <w:tcW w:w="5327" w:type="dxa"/>
            <w:vAlign w:val="center"/>
          </w:tcPr>
          <w:p>
            <w:pPr>
              <w:adjustRightInd w:val="0"/>
              <w:snapToGrid w:val="0"/>
              <w:ind w:firstLine="280"/>
              <w:jc w:val="center"/>
              <w:rPr>
                <w:rFonts w:asciiTheme="minorEastAsia" w:hAnsiTheme="minorEastAsia" w:eastAsiaTheme="minorEastAsia" w:cstheme="minorEastAsia"/>
                <w:color w:val="auto"/>
                <w:sz w:val="24"/>
                <w:szCs w:val="24"/>
                <w:highlight w:val="none"/>
              </w:rPr>
            </w:pPr>
          </w:p>
        </w:tc>
        <w:tc>
          <w:tcPr>
            <w:tcW w:w="1477" w:type="dxa"/>
            <w:vAlign w:val="center"/>
          </w:tcPr>
          <w:p>
            <w:pPr>
              <w:adjustRightInd w:val="0"/>
              <w:snapToGrid w:val="0"/>
              <w:ind w:firstLine="280"/>
              <w:jc w:val="center"/>
              <w:rPr>
                <w:rFonts w:asciiTheme="minorEastAsia" w:hAnsiTheme="minorEastAsia" w:eastAsiaTheme="minorEastAsia" w:cstheme="minorEastAsia"/>
                <w:color w:val="auto"/>
                <w:sz w:val="24"/>
                <w:szCs w:val="24"/>
                <w:highlight w:val="none"/>
              </w:rPr>
            </w:pPr>
          </w:p>
        </w:tc>
        <w:tc>
          <w:tcPr>
            <w:tcW w:w="1808" w:type="dxa"/>
            <w:vAlign w:val="center"/>
          </w:tcPr>
          <w:p>
            <w:pPr>
              <w:adjustRightInd w:val="0"/>
              <w:snapToGrid w:val="0"/>
              <w:ind w:firstLine="280"/>
              <w:jc w:val="center"/>
              <w:rPr>
                <w:rFonts w:asciiTheme="minorEastAsia" w:hAnsiTheme="minorEastAsia" w:eastAsiaTheme="minorEastAsia" w:cstheme="minorEastAsia"/>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1242" w:type="dxa"/>
            <w:vAlign w:val="center"/>
          </w:tcPr>
          <w:p>
            <w:pPr>
              <w:adjustRightInd w:val="0"/>
              <w:snapToGrid w:val="0"/>
              <w:ind w:firstLine="280"/>
              <w:jc w:val="center"/>
              <w:rPr>
                <w:rFonts w:asciiTheme="minorEastAsia" w:hAnsiTheme="minorEastAsia" w:eastAsiaTheme="minorEastAsia" w:cstheme="minorEastAsia"/>
                <w:color w:val="auto"/>
                <w:sz w:val="24"/>
                <w:szCs w:val="24"/>
                <w:highlight w:val="none"/>
              </w:rPr>
            </w:pPr>
          </w:p>
        </w:tc>
        <w:tc>
          <w:tcPr>
            <w:tcW w:w="5327" w:type="dxa"/>
            <w:vAlign w:val="center"/>
          </w:tcPr>
          <w:p>
            <w:pPr>
              <w:adjustRightInd w:val="0"/>
              <w:snapToGrid w:val="0"/>
              <w:ind w:firstLine="280"/>
              <w:jc w:val="center"/>
              <w:rPr>
                <w:rFonts w:asciiTheme="minorEastAsia" w:hAnsiTheme="minorEastAsia" w:eastAsiaTheme="minorEastAsia" w:cstheme="minorEastAsia"/>
                <w:color w:val="auto"/>
                <w:sz w:val="24"/>
                <w:szCs w:val="24"/>
                <w:highlight w:val="none"/>
              </w:rPr>
            </w:pPr>
          </w:p>
        </w:tc>
        <w:tc>
          <w:tcPr>
            <w:tcW w:w="1477" w:type="dxa"/>
            <w:vAlign w:val="center"/>
          </w:tcPr>
          <w:p>
            <w:pPr>
              <w:adjustRightInd w:val="0"/>
              <w:snapToGrid w:val="0"/>
              <w:ind w:firstLine="280"/>
              <w:jc w:val="center"/>
              <w:rPr>
                <w:rFonts w:asciiTheme="minorEastAsia" w:hAnsiTheme="minorEastAsia" w:eastAsiaTheme="minorEastAsia" w:cstheme="minorEastAsia"/>
                <w:color w:val="auto"/>
                <w:sz w:val="24"/>
                <w:szCs w:val="24"/>
                <w:highlight w:val="none"/>
              </w:rPr>
            </w:pPr>
          </w:p>
        </w:tc>
        <w:tc>
          <w:tcPr>
            <w:tcW w:w="1808" w:type="dxa"/>
            <w:vAlign w:val="center"/>
          </w:tcPr>
          <w:p>
            <w:pPr>
              <w:adjustRightInd w:val="0"/>
              <w:snapToGrid w:val="0"/>
              <w:ind w:firstLine="280"/>
              <w:jc w:val="center"/>
              <w:rPr>
                <w:rFonts w:asciiTheme="minorEastAsia" w:hAnsiTheme="minorEastAsia" w:eastAsiaTheme="minorEastAsia" w:cstheme="minorEastAsia"/>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1242" w:type="dxa"/>
            <w:vAlign w:val="center"/>
          </w:tcPr>
          <w:p>
            <w:pPr>
              <w:adjustRightInd w:val="0"/>
              <w:snapToGrid w:val="0"/>
              <w:ind w:firstLine="280"/>
              <w:jc w:val="center"/>
              <w:rPr>
                <w:rFonts w:asciiTheme="minorEastAsia" w:hAnsiTheme="minorEastAsia" w:eastAsiaTheme="minorEastAsia" w:cstheme="minorEastAsia"/>
                <w:color w:val="auto"/>
                <w:sz w:val="24"/>
                <w:szCs w:val="24"/>
                <w:highlight w:val="none"/>
              </w:rPr>
            </w:pPr>
          </w:p>
        </w:tc>
        <w:tc>
          <w:tcPr>
            <w:tcW w:w="5327" w:type="dxa"/>
            <w:vAlign w:val="center"/>
          </w:tcPr>
          <w:p>
            <w:pPr>
              <w:adjustRightInd w:val="0"/>
              <w:snapToGrid w:val="0"/>
              <w:ind w:firstLine="280"/>
              <w:jc w:val="center"/>
              <w:rPr>
                <w:rFonts w:asciiTheme="minorEastAsia" w:hAnsiTheme="minorEastAsia" w:eastAsiaTheme="minorEastAsia" w:cstheme="minorEastAsia"/>
                <w:color w:val="auto"/>
                <w:sz w:val="24"/>
                <w:szCs w:val="24"/>
                <w:highlight w:val="none"/>
              </w:rPr>
            </w:pPr>
          </w:p>
        </w:tc>
        <w:tc>
          <w:tcPr>
            <w:tcW w:w="1477" w:type="dxa"/>
            <w:vAlign w:val="center"/>
          </w:tcPr>
          <w:p>
            <w:pPr>
              <w:adjustRightInd w:val="0"/>
              <w:snapToGrid w:val="0"/>
              <w:ind w:firstLine="280"/>
              <w:jc w:val="center"/>
              <w:rPr>
                <w:rFonts w:asciiTheme="minorEastAsia" w:hAnsiTheme="minorEastAsia" w:eastAsiaTheme="minorEastAsia" w:cstheme="minorEastAsia"/>
                <w:color w:val="auto"/>
                <w:sz w:val="24"/>
                <w:szCs w:val="24"/>
                <w:highlight w:val="none"/>
              </w:rPr>
            </w:pPr>
          </w:p>
        </w:tc>
        <w:tc>
          <w:tcPr>
            <w:tcW w:w="1808" w:type="dxa"/>
            <w:vAlign w:val="center"/>
          </w:tcPr>
          <w:p>
            <w:pPr>
              <w:adjustRightInd w:val="0"/>
              <w:snapToGrid w:val="0"/>
              <w:ind w:firstLine="280"/>
              <w:jc w:val="center"/>
              <w:rPr>
                <w:rFonts w:asciiTheme="minorEastAsia" w:hAnsiTheme="minorEastAsia" w:eastAsiaTheme="minorEastAsia" w:cstheme="minorEastAsia"/>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1242" w:type="dxa"/>
            <w:vAlign w:val="center"/>
          </w:tcPr>
          <w:p>
            <w:pPr>
              <w:adjustRightInd w:val="0"/>
              <w:snapToGrid w:val="0"/>
              <w:ind w:firstLine="280"/>
              <w:jc w:val="center"/>
              <w:rPr>
                <w:rFonts w:asciiTheme="minorEastAsia" w:hAnsiTheme="minorEastAsia" w:eastAsiaTheme="minorEastAsia" w:cstheme="minorEastAsia"/>
                <w:color w:val="auto"/>
                <w:sz w:val="24"/>
                <w:szCs w:val="24"/>
                <w:highlight w:val="none"/>
              </w:rPr>
            </w:pPr>
          </w:p>
        </w:tc>
        <w:tc>
          <w:tcPr>
            <w:tcW w:w="5327" w:type="dxa"/>
            <w:vAlign w:val="center"/>
          </w:tcPr>
          <w:p>
            <w:pPr>
              <w:adjustRightInd w:val="0"/>
              <w:snapToGrid w:val="0"/>
              <w:ind w:firstLine="280"/>
              <w:jc w:val="center"/>
              <w:rPr>
                <w:rFonts w:asciiTheme="minorEastAsia" w:hAnsiTheme="minorEastAsia" w:eastAsiaTheme="minorEastAsia" w:cstheme="minorEastAsia"/>
                <w:color w:val="auto"/>
                <w:sz w:val="24"/>
                <w:szCs w:val="24"/>
                <w:highlight w:val="none"/>
              </w:rPr>
            </w:pPr>
          </w:p>
        </w:tc>
        <w:tc>
          <w:tcPr>
            <w:tcW w:w="1477" w:type="dxa"/>
            <w:vAlign w:val="center"/>
          </w:tcPr>
          <w:p>
            <w:pPr>
              <w:adjustRightInd w:val="0"/>
              <w:snapToGrid w:val="0"/>
              <w:ind w:firstLine="280"/>
              <w:jc w:val="center"/>
              <w:rPr>
                <w:rFonts w:asciiTheme="minorEastAsia" w:hAnsiTheme="minorEastAsia" w:eastAsiaTheme="minorEastAsia" w:cstheme="minorEastAsia"/>
                <w:color w:val="auto"/>
                <w:sz w:val="24"/>
                <w:szCs w:val="24"/>
                <w:highlight w:val="none"/>
              </w:rPr>
            </w:pPr>
          </w:p>
        </w:tc>
        <w:tc>
          <w:tcPr>
            <w:tcW w:w="1808" w:type="dxa"/>
            <w:vAlign w:val="center"/>
          </w:tcPr>
          <w:p>
            <w:pPr>
              <w:adjustRightInd w:val="0"/>
              <w:snapToGrid w:val="0"/>
              <w:ind w:firstLine="280"/>
              <w:jc w:val="center"/>
              <w:rPr>
                <w:rFonts w:asciiTheme="minorEastAsia" w:hAnsiTheme="minorEastAsia" w:eastAsiaTheme="minorEastAsia" w:cstheme="minorEastAsia"/>
                <w:color w:val="auto"/>
                <w:sz w:val="24"/>
                <w:szCs w:val="24"/>
                <w:highlight w:val="none"/>
              </w:rPr>
            </w:pPr>
          </w:p>
        </w:tc>
      </w:tr>
    </w:tbl>
    <w:p>
      <w:pPr>
        <w:adjustRightInd w:val="0"/>
        <w:snapToGrid w:val="0"/>
        <w:ind w:firstLine="280"/>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w:t>
      </w:r>
    </w:p>
    <w:p>
      <w:pPr>
        <w:adjustRightInd w:val="0"/>
        <w:snapToGrid w:val="0"/>
        <w:ind w:firstLine="280"/>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投标人：</w:t>
      </w:r>
      <w:r>
        <w:rPr>
          <w:rFonts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（盖章）</w:t>
      </w:r>
    </w:p>
    <w:p>
      <w:pPr>
        <w:adjustRightInd w:val="0"/>
        <w:snapToGrid w:val="0"/>
        <w:ind w:firstLine="281"/>
        <w:jc w:val="center"/>
        <w:rPr>
          <w:rFonts w:asciiTheme="minorEastAsia" w:hAnsiTheme="minorEastAsia" w:eastAsiaTheme="minorEastAsia" w:cstheme="minorEastAsia"/>
          <w:b/>
          <w:color w:val="auto"/>
          <w:sz w:val="24"/>
          <w:szCs w:val="24"/>
          <w:highlight w:val="none"/>
        </w:rPr>
      </w:pPr>
    </w:p>
    <w:p>
      <w:pPr>
        <w:adjustRightInd w:val="0"/>
        <w:snapToGrid w:val="0"/>
        <w:ind w:firstLine="281"/>
        <w:jc w:val="center"/>
        <w:rPr>
          <w:rFonts w:asciiTheme="minorEastAsia" w:hAnsiTheme="minorEastAsia" w:eastAsiaTheme="minorEastAsia" w:cstheme="minorEastAsia"/>
          <w:b/>
          <w:color w:val="auto"/>
          <w:sz w:val="24"/>
          <w:szCs w:val="24"/>
          <w:highlight w:val="none"/>
        </w:rPr>
      </w:pPr>
    </w:p>
    <w:p>
      <w:pPr>
        <w:adjustRightInd w:val="0"/>
        <w:snapToGrid w:val="0"/>
        <w:ind w:firstLine="281"/>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                         日期：          </w:t>
      </w:r>
      <w:r>
        <w:rPr>
          <w:rFonts w:hint="eastAsia" w:asciiTheme="minorEastAsia" w:hAnsiTheme="minorEastAsia" w:eastAsiaTheme="minorEastAsia" w:cstheme="minorEastAsia"/>
          <w:color w:val="auto"/>
          <w:sz w:val="24"/>
          <w:szCs w:val="24"/>
          <w:highlight w:val="none"/>
        </w:rPr>
        <w:t>年   月   日</w:t>
      </w:r>
    </w:p>
    <w:p>
      <w:pPr>
        <w:pStyle w:val="2"/>
        <w:ind w:firstLine="340"/>
        <w:rPr>
          <w:color w:val="auto"/>
          <w:highlight w:val="none"/>
        </w:rPr>
      </w:pPr>
    </w:p>
    <w:p>
      <w:pPr>
        <w:rPr>
          <w:color w:val="auto"/>
          <w:highlight w:val="none"/>
        </w:rPr>
      </w:pPr>
    </w:p>
    <w:p>
      <w:pPr>
        <w:pStyle w:val="2"/>
        <w:ind w:firstLine="340"/>
        <w:rPr>
          <w:color w:val="auto"/>
          <w:highlight w:val="none"/>
        </w:rPr>
      </w:pPr>
    </w:p>
    <w:p>
      <w:pPr>
        <w:rPr>
          <w:color w:val="auto"/>
          <w:highlight w:val="none"/>
        </w:rPr>
      </w:pPr>
    </w:p>
    <w:p>
      <w:pPr>
        <w:pStyle w:val="2"/>
        <w:ind w:firstLine="340"/>
        <w:rPr>
          <w:color w:val="auto"/>
          <w:highlight w:val="none"/>
        </w:rPr>
      </w:pPr>
    </w:p>
    <w:p>
      <w:pPr>
        <w:rPr>
          <w:color w:val="auto"/>
          <w:highlight w:val="none"/>
        </w:rPr>
      </w:pPr>
    </w:p>
    <w:p>
      <w:pPr>
        <w:pStyle w:val="2"/>
        <w:ind w:firstLine="340"/>
        <w:rPr>
          <w:color w:val="auto"/>
          <w:highlight w:val="none"/>
        </w:rPr>
      </w:pPr>
    </w:p>
    <w:p>
      <w:pPr>
        <w:rPr>
          <w:color w:val="auto"/>
          <w:highlight w:val="none"/>
        </w:rPr>
      </w:pPr>
    </w:p>
    <w:p>
      <w:pPr>
        <w:pStyle w:val="2"/>
        <w:ind w:firstLine="340"/>
        <w:rPr>
          <w:color w:val="auto"/>
          <w:highlight w:val="none"/>
        </w:rPr>
      </w:pPr>
    </w:p>
    <w:p>
      <w:pPr>
        <w:rPr>
          <w:color w:val="auto"/>
          <w:highlight w:val="none"/>
        </w:rPr>
      </w:pPr>
    </w:p>
    <w:p>
      <w:pPr>
        <w:pStyle w:val="2"/>
        <w:ind w:firstLine="340"/>
        <w:rPr>
          <w:color w:val="auto"/>
          <w:highlight w:val="none"/>
        </w:rPr>
      </w:pPr>
    </w:p>
    <w:p>
      <w:pPr>
        <w:rPr>
          <w:color w:val="auto"/>
          <w:highlight w:val="none"/>
        </w:rPr>
      </w:pPr>
    </w:p>
    <w:p>
      <w:pPr>
        <w:pStyle w:val="2"/>
        <w:ind w:firstLine="340"/>
        <w:rPr>
          <w:color w:val="auto"/>
          <w:highlight w:val="none"/>
        </w:rPr>
      </w:pPr>
    </w:p>
    <w:p>
      <w:pPr>
        <w:rPr>
          <w:color w:val="auto"/>
          <w:highlight w:val="none"/>
        </w:rPr>
      </w:pPr>
    </w:p>
    <w:p>
      <w:pPr>
        <w:pStyle w:val="2"/>
        <w:ind w:firstLine="340"/>
        <w:rPr>
          <w:color w:val="auto"/>
          <w:highlight w:val="none"/>
        </w:rPr>
      </w:pPr>
    </w:p>
    <w:p>
      <w:pPr>
        <w:rPr>
          <w:color w:val="auto"/>
          <w:highlight w:val="none"/>
        </w:rPr>
      </w:pPr>
    </w:p>
    <w:p>
      <w:pPr>
        <w:pStyle w:val="2"/>
        <w:ind w:firstLine="340"/>
        <w:rPr>
          <w:color w:val="auto"/>
          <w:highlight w:val="none"/>
        </w:rPr>
      </w:pPr>
    </w:p>
    <w:p>
      <w:pPr>
        <w:rPr>
          <w:color w:val="auto"/>
          <w:highlight w:val="none"/>
        </w:rPr>
      </w:pPr>
    </w:p>
    <w:p>
      <w:pPr>
        <w:pStyle w:val="2"/>
        <w:ind w:firstLine="340"/>
        <w:rPr>
          <w:color w:val="auto"/>
          <w:highlight w:val="none"/>
        </w:rPr>
      </w:pPr>
    </w:p>
    <w:p>
      <w:pPr>
        <w:rPr>
          <w:color w:val="auto"/>
          <w:highlight w:val="none"/>
        </w:rPr>
      </w:pPr>
    </w:p>
    <w:p>
      <w:pPr>
        <w:pStyle w:val="2"/>
        <w:ind w:firstLine="281"/>
        <w:rPr>
          <w:rFonts w:asciiTheme="minorEastAsia" w:hAnsiTheme="minorEastAsia" w:eastAsiaTheme="minorEastAsia"/>
          <w:b/>
          <w:bCs/>
          <w:color w:val="auto"/>
          <w:sz w:val="28"/>
          <w:szCs w:val="28"/>
          <w:highlight w:val="none"/>
        </w:rPr>
      </w:pPr>
      <w:r>
        <w:rPr>
          <w:rFonts w:hint="eastAsia" w:asciiTheme="minorEastAsia" w:hAnsiTheme="minorEastAsia" w:eastAsiaTheme="minorEastAsia"/>
          <w:b/>
          <w:bCs/>
          <w:color w:val="auto"/>
          <w:sz w:val="28"/>
          <w:szCs w:val="28"/>
          <w:highlight w:val="none"/>
        </w:rPr>
        <w:t>详细内容由投标单位根据投标人须知第</w:t>
      </w:r>
      <w:r>
        <w:rPr>
          <w:rFonts w:asciiTheme="minorEastAsia" w:hAnsiTheme="minorEastAsia" w:eastAsiaTheme="minorEastAsia"/>
          <w:b/>
          <w:bCs/>
          <w:color w:val="auto"/>
          <w:sz w:val="28"/>
          <w:szCs w:val="28"/>
          <w:highlight w:val="none"/>
        </w:rPr>
        <w:t xml:space="preserve"> 3.1.2 </w:t>
      </w:r>
      <w:r>
        <w:rPr>
          <w:rFonts w:hint="eastAsia" w:asciiTheme="minorEastAsia" w:hAnsiTheme="minorEastAsia" w:eastAsiaTheme="minorEastAsia"/>
          <w:b/>
          <w:bCs/>
          <w:color w:val="auto"/>
          <w:sz w:val="28"/>
          <w:szCs w:val="28"/>
          <w:highlight w:val="none"/>
        </w:rPr>
        <w:t>技术标部分内容进行编制，格式自拟。</w:t>
      </w:r>
    </w:p>
    <w:p>
      <w:pPr>
        <w:rPr>
          <w:color w:val="auto"/>
          <w:highlight w:val="none"/>
        </w:rPr>
      </w:pPr>
    </w:p>
    <w:p>
      <w:pPr>
        <w:pStyle w:val="2"/>
        <w:ind w:firstLine="340"/>
        <w:rPr>
          <w:color w:val="auto"/>
          <w:highlight w:val="none"/>
        </w:rPr>
      </w:pPr>
    </w:p>
    <w:p>
      <w:pPr>
        <w:rPr>
          <w:color w:val="auto"/>
          <w:highlight w:val="none"/>
        </w:rPr>
      </w:pPr>
    </w:p>
    <w:p>
      <w:pPr>
        <w:pStyle w:val="2"/>
        <w:ind w:firstLine="340"/>
        <w:rPr>
          <w:color w:val="auto"/>
          <w:highlight w:val="none"/>
        </w:rPr>
      </w:pPr>
    </w:p>
    <w:p>
      <w:pPr>
        <w:rPr>
          <w:color w:val="auto"/>
          <w:highlight w:val="none"/>
        </w:rPr>
      </w:pPr>
    </w:p>
    <w:p>
      <w:pPr>
        <w:pStyle w:val="2"/>
        <w:ind w:firstLine="340"/>
        <w:rPr>
          <w:color w:val="auto"/>
          <w:highlight w:val="none"/>
        </w:rPr>
      </w:pPr>
    </w:p>
    <w:p>
      <w:pPr>
        <w:rPr>
          <w:color w:val="auto"/>
          <w:highlight w:val="none"/>
        </w:rPr>
      </w:pPr>
    </w:p>
    <w:p>
      <w:pPr>
        <w:pStyle w:val="2"/>
        <w:ind w:firstLine="340"/>
        <w:rPr>
          <w:color w:val="auto"/>
          <w:highlight w:val="none"/>
        </w:rPr>
      </w:pPr>
    </w:p>
    <w:p>
      <w:pPr>
        <w:rPr>
          <w:color w:val="auto"/>
          <w:highlight w:val="none"/>
        </w:rPr>
      </w:pPr>
    </w:p>
    <w:p>
      <w:pPr>
        <w:pStyle w:val="2"/>
        <w:ind w:firstLine="340"/>
        <w:rPr>
          <w:color w:val="auto"/>
          <w:highlight w:val="none"/>
        </w:rPr>
      </w:pPr>
    </w:p>
    <w:p>
      <w:pPr>
        <w:rPr>
          <w:color w:val="auto"/>
          <w:highlight w:val="none"/>
        </w:rPr>
      </w:pPr>
    </w:p>
    <w:p>
      <w:pPr>
        <w:pStyle w:val="2"/>
        <w:ind w:firstLine="340"/>
        <w:rPr>
          <w:color w:val="auto"/>
          <w:highlight w:val="none"/>
        </w:rPr>
      </w:pPr>
    </w:p>
    <w:p>
      <w:pPr>
        <w:rPr>
          <w:color w:val="auto"/>
          <w:highlight w:val="none"/>
        </w:rPr>
      </w:pPr>
    </w:p>
    <w:p>
      <w:pPr>
        <w:pStyle w:val="2"/>
        <w:ind w:firstLine="340"/>
        <w:rPr>
          <w:color w:val="auto"/>
          <w:highlight w:val="none"/>
        </w:rPr>
      </w:pPr>
    </w:p>
    <w:p>
      <w:pPr>
        <w:rPr>
          <w:color w:val="auto"/>
          <w:highlight w:val="none"/>
        </w:rPr>
      </w:pPr>
    </w:p>
    <w:p>
      <w:pPr>
        <w:pStyle w:val="2"/>
        <w:ind w:firstLine="340"/>
        <w:rPr>
          <w:color w:val="auto"/>
          <w:highlight w:val="none"/>
        </w:rPr>
      </w:pPr>
    </w:p>
    <w:p>
      <w:pPr>
        <w:rPr>
          <w:color w:val="auto"/>
          <w:highlight w:val="none"/>
        </w:rPr>
      </w:pPr>
    </w:p>
    <w:p>
      <w:pPr>
        <w:pStyle w:val="2"/>
        <w:ind w:firstLine="340"/>
        <w:rPr>
          <w:color w:val="auto"/>
          <w:highlight w:val="none"/>
        </w:rPr>
      </w:pPr>
    </w:p>
    <w:p>
      <w:pPr>
        <w:rPr>
          <w:color w:val="auto"/>
          <w:highlight w:val="none"/>
        </w:rPr>
      </w:pPr>
    </w:p>
    <w:p>
      <w:pPr>
        <w:pStyle w:val="2"/>
        <w:ind w:firstLine="340"/>
        <w:rPr>
          <w:color w:val="auto"/>
          <w:highlight w:val="none"/>
        </w:rPr>
      </w:pPr>
    </w:p>
    <w:p>
      <w:pPr>
        <w:rPr>
          <w:color w:val="auto"/>
          <w:highlight w:val="none"/>
        </w:rPr>
      </w:pPr>
    </w:p>
    <w:p>
      <w:pPr>
        <w:pStyle w:val="2"/>
        <w:ind w:firstLine="340"/>
        <w:rPr>
          <w:color w:val="auto"/>
          <w:highlight w:val="none"/>
        </w:rPr>
      </w:pPr>
    </w:p>
    <w:p>
      <w:pPr>
        <w:rPr>
          <w:color w:val="auto"/>
          <w:highlight w:val="none"/>
        </w:rPr>
      </w:pPr>
    </w:p>
    <w:p>
      <w:pPr>
        <w:pStyle w:val="2"/>
        <w:ind w:firstLine="340"/>
        <w:rPr>
          <w:color w:val="auto"/>
          <w:highlight w:val="none"/>
        </w:rPr>
      </w:pPr>
    </w:p>
    <w:p>
      <w:pPr>
        <w:rPr>
          <w:color w:val="auto"/>
          <w:highlight w:val="none"/>
        </w:rPr>
      </w:pPr>
    </w:p>
    <w:p>
      <w:pPr>
        <w:pStyle w:val="2"/>
        <w:ind w:firstLine="340"/>
        <w:rPr>
          <w:color w:val="auto"/>
          <w:highlight w:val="none"/>
        </w:rPr>
      </w:pPr>
    </w:p>
    <w:p>
      <w:pPr>
        <w:rPr>
          <w:color w:val="auto"/>
          <w:highlight w:val="none"/>
        </w:rPr>
      </w:pPr>
    </w:p>
    <w:p>
      <w:pPr>
        <w:pStyle w:val="2"/>
        <w:ind w:firstLine="340"/>
        <w:rPr>
          <w:color w:val="auto"/>
          <w:highlight w:val="none"/>
        </w:rPr>
      </w:pPr>
    </w:p>
    <w:p>
      <w:pPr>
        <w:rPr>
          <w:color w:val="auto"/>
          <w:highlight w:val="none"/>
        </w:rPr>
      </w:pPr>
    </w:p>
    <w:p>
      <w:pPr>
        <w:pStyle w:val="2"/>
        <w:ind w:firstLine="340"/>
        <w:rPr>
          <w:color w:val="auto"/>
          <w:highlight w:val="none"/>
        </w:rPr>
      </w:pPr>
    </w:p>
    <w:p>
      <w:pPr>
        <w:rPr>
          <w:color w:val="auto"/>
          <w:highlight w:val="none"/>
        </w:rPr>
      </w:pPr>
    </w:p>
    <w:p>
      <w:pPr>
        <w:pStyle w:val="2"/>
        <w:ind w:firstLine="340"/>
        <w:rPr>
          <w:color w:val="auto"/>
          <w:highlight w:val="none"/>
        </w:rPr>
      </w:pPr>
    </w:p>
    <w:p>
      <w:pPr>
        <w:rPr>
          <w:color w:val="auto"/>
          <w:highlight w:val="none"/>
        </w:rPr>
      </w:pPr>
    </w:p>
    <w:p>
      <w:pPr>
        <w:pStyle w:val="2"/>
        <w:ind w:firstLine="340"/>
        <w:rPr>
          <w:color w:val="auto"/>
          <w:highlight w:val="none"/>
        </w:rPr>
      </w:pPr>
    </w:p>
    <w:p>
      <w:pPr>
        <w:rPr>
          <w:color w:val="auto"/>
          <w:highlight w:val="none"/>
        </w:rPr>
      </w:pPr>
    </w:p>
    <w:p>
      <w:pPr>
        <w:pStyle w:val="2"/>
        <w:ind w:firstLine="340"/>
        <w:rPr>
          <w:color w:val="auto"/>
          <w:highlight w:val="none"/>
        </w:rPr>
      </w:pPr>
    </w:p>
    <w:p>
      <w:pPr>
        <w:rPr>
          <w:color w:val="auto"/>
          <w:highlight w:val="none"/>
        </w:rPr>
      </w:pPr>
    </w:p>
    <w:p>
      <w:pPr>
        <w:pStyle w:val="2"/>
        <w:ind w:firstLine="340"/>
        <w:rPr>
          <w:color w:val="auto"/>
          <w:highlight w:val="none"/>
        </w:rPr>
      </w:pPr>
    </w:p>
    <w:p>
      <w:pPr>
        <w:rPr>
          <w:color w:val="auto"/>
          <w:highlight w:val="none"/>
        </w:rPr>
      </w:pPr>
    </w:p>
    <w:p>
      <w:pPr>
        <w:pStyle w:val="2"/>
        <w:ind w:firstLine="340"/>
        <w:rPr>
          <w:color w:val="auto"/>
          <w:highlight w:val="none"/>
        </w:rPr>
      </w:pPr>
    </w:p>
    <w:p>
      <w:pPr>
        <w:rPr>
          <w:color w:val="auto"/>
          <w:highlight w:val="none"/>
        </w:rPr>
      </w:pPr>
    </w:p>
    <w:p>
      <w:pPr>
        <w:keepNext/>
        <w:keepLines/>
        <w:jc w:val="center"/>
        <w:rPr>
          <w:rFonts w:ascii="黑体" w:hAnsi="黑体" w:eastAsia="黑体"/>
          <w:b/>
          <w:color w:val="auto"/>
          <w:sz w:val="32"/>
          <w:szCs w:val="32"/>
          <w:highlight w:val="none"/>
        </w:rPr>
      </w:pPr>
      <w:r>
        <w:rPr>
          <w:rFonts w:hint="eastAsia" w:ascii="黑体" w:hAnsi="黑体" w:eastAsia="黑体"/>
          <w:b/>
          <w:color w:val="auto"/>
          <w:sz w:val="32"/>
          <w:szCs w:val="32"/>
          <w:highlight w:val="none"/>
        </w:rPr>
        <w:t>近年完成的类似项目情况表</w:t>
      </w:r>
    </w:p>
    <w:tbl>
      <w:tblPr>
        <w:tblStyle w:val="27"/>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40"/>
        <w:gridCol w:w="658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40" w:type="dxa"/>
            <w:tcBorders>
              <w:top w:val="outset" w:color="auto" w:sz="6" w:space="0"/>
              <w:left w:val="outset" w:color="auto" w:sz="6" w:space="0"/>
              <w:bottom w:val="outset" w:color="auto" w:sz="6" w:space="0"/>
              <w:right w:val="outset" w:color="auto" w:sz="6" w:space="0"/>
            </w:tcBorders>
            <w:vAlign w:val="center"/>
          </w:tcPr>
          <w:p>
            <w:pPr>
              <w:jc w:val="center"/>
              <w:rPr>
                <w:color w:val="auto"/>
                <w:highlight w:val="none"/>
              </w:rPr>
            </w:pPr>
            <w:r>
              <w:rPr>
                <w:rFonts w:hint="eastAsia"/>
                <w:color w:val="auto"/>
                <w:highlight w:val="none"/>
              </w:rPr>
              <w:t>项目名称</w:t>
            </w:r>
          </w:p>
        </w:tc>
        <w:tc>
          <w:tcPr>
            <w:tcW w:w="6582" w:type="dxa"/>
            <w:tcBorders>
              <w:top w:val="outset" w:color="auto" w:sz="6" w:space="0"/>
              <w:left w:val="outset" w:color="auto" w:sz="6" w:space="0"/>
              <w:bottom w:val="outset" w:color="auto" w:sz="6" w:space="0"/>
              <w:right w:val="outset" w:color="auto" w:sz="6" w:space="0"/>
            </w:tcBorders>
            <w:vAlign w:val="center"/>
          </w:tcPr>
          <w:p>
            <w:pPr>
              <w:spacing w:line="360" w:lineRule="auto"/>
              <w:ind w:firstLine="420" w:firstLineChars="200"/>
              <w:rPr>
                <w:rFonts w:ascii="宋体"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40" w:type="dxa"/>
            <w:tcBorders>
              <w:top w:val="outset" w:color="auto" w:sz="6" w:space="0"/>
              <w:left w:val="outset" w:color="auto" w:sz="6" w:space="0"/>
              <w:bottom w:val="outset" w:color="auto" w:sz="6" w:space="0"/>
              <w:right w:val="outset" w:color="auto" w:sz="6" w:space="0"/>
            </w:tcBorders>
            <w:vAlign w:val="center"/>
          </w:tcPr>
          <w:p>
            <w:pPr>
              <w:jc w:val="center"/>
              <w:rPr>
                <w:color w:val="auto"/>
                <w:highlight w:val="none"/>
              </w:rPr>
            </w:pPr>
            <w:r>
              <w:rPr>
                <w:rFonts w:hint="eastAsia"/>
                <w:color w:val="auto"/>
                <w:highlight w:val="none"/>
              </w:rPr>
              <w:t>项目所在地</w:t>
            </w:r>
          </w:p>
        </w:tc>
        <w:tc>
          <w:tcPr>
            <w:tcW w:w="6582" w:type="dxa"/>
            <w:tcBorders>
              <w:top w:val="outset" w:color="auto" w:sz="6" w:space="0"/>
              <w:left w:val="outset" w:color="auto" w:sz="6" w:space="0"/>
              <w:bottom w:val="outset" w:color="auto" w:sz="6" w:space="0"/>
              <w:right w:val="outset" w:color="auto" w:sz="6" w:space="0"/>
            </w:tcBorders>
            <w:vAlign w:val="center"/>
          </w:tcPr>
          <w:p>
            <w:pPr>
              <w:spacing w:line="360" w:lineRule="auto"/>
              <w:ind w:firstLine="420" w:firstLineChars="200"/>
              <w:rPr>
                <w:rFonts w:ascii="宋体"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40" w:type="dxa"/>
            <w:tcBorders>
              <w:top w:val="outset" w:color="auto" w:sz="6" w:space="0"/>
              <w:left w:val="outset" w:color="auto" w:sz="6" w:space="0"/>
              <w:bottom w:val="outset" w:color="auto" w:sz="6" w:space="0"/>
              <w:right w:val="outset" w:color="auto" w:sz="6" w:space="0"/>
            </w:tcBorders>
            <w:vAlign w:val="center"/>
          </w:tcPr>
          <w:p>
            <w:pPr>
              <w:jc w:val="center"/>
              <w:rPr>
                <w:color w:val="auto"/>
                <w:highlight w:val="none"/>
              </w:rPr>
            </w:pPr>
            <w:r>
              <w:rPr>
                <w:rFonts w:hint="eastAsia"/>
                <w:color w:val="auto"/>
                <w:highlight w:val="none"/>
              </w:rPr>
              <w:t>发包人名称</w:t>
            </w:r>
          </w:p>
        </w:tc>
        <w:tc>
          <w:tcPr>
            <w:tcW w:w="6582" w:type="dxa"/>
            <w:tcBorders>
              <w:top w:val="outset" w:color="auto" w:sz="6" w:space="0"/>
              <w:left w:val="outset" w:color="auto" w:sz="6" w:space="0"/>
              <w:bottom w:val="outset" w:color="auto" w:sz="6" w:space="0"/>
              <w:right w:val="outset" w:color="auto" w:sz="6" w:space="0"/>
            </w:tcBorders>
            <w:vAlign w:val="center"/>
          </w:tcPr>
          <w:p>
            <w:pPr>
              <w:spacing w:line="360" w:lineRule="auto"/>
              <w:ind w:firstLine="420" w:firstLineChars="200"/>
              <w:rPr>
                <w:rFonts w:ascii="宋体"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40" w:type="dxa"/>
            <w:tcBorders>
              <w:top w:val="outset" w:color="auto" w:sz="6" w:space="0"/>
              <w:left w:val="outset" w:color="auto" w:sz="6" w:space="0"/>
              <w:bottom w:val="outset" w:color="auto" w:sz="6" w:space="0"/>
              <w:right w:val="outset" w:color="auto" w:sz="6" w:space="0"/>
            </w:tcBorders>
            <w:vAlign w:val="center"/>
          </w:tcPr>
          <w:p>
            <w:pPr>
              <w:jc w:val="center"/>
              <w:rPr>
                <w:color w:val="auto"/>
                <w:highlight w:val="none"/>
              </w:rPr>
            </w:pPr>
            <w:r>
              <w:rPr>
                <w:rFonts w:hint="eastAsia"/>
                <w:color w:val="auto"/>
                <w:highlight w:val="none"/>
              </w:rPr>
              <w:t>发包人地址</w:t>
            </w:r>
          </w:p>
        </w:tc>
        <w:tc>
          <w:tcPr>
            <w:tcW w:w="6582" w:type="dxa"/>
            <w:tcBorders>
              <w:top w:val="outset" w:color="auto" w:sz="6" w:space="0"/>
              <w:left w:val="outset" w:color="auto" w:sz="6" w:space="0"/>
              <w:bottom w:val="outset" w:color="auto" w:sz="6" w:space="0"/>
              <w:right w:val="outset" w:color="auto" w:sz="6" w:space="0"/>
            </w:tcBorders>
            <w:vAlign w:val="center"/>
          </w:tcPr>
          <w:p>
            <w:pPr>
              <w:spacing w:line="360" w:lineRule="auto"/>
              <w:ind w:firstLine="420" w:firstLineChars="200"/>
              <w:rPr>
                <w:rFonts w:ascii="宋体"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40" w:type="dxa"/>
            <w:tcBorders>
              <w:top w:val="outset" w:color="auto" w:sz="6" w:space="0"/>
              <w:left w:val="outset" w:color="auto" w:sz="6" w:space="0"/>
              <w:bottom w:val="outset" w:color="auto" w:sz="6" w:space="0"/>
              <w:right w:val="outset" w:color="auto" w:sz="6" w:space="0"/>
            </w:tcBorders>
            <w:vAlign w:val="center"/>
          </w:tcPr>
          <w:p>
            <w:pPr>
              <w:jc w:val="center"/>
              <w:rPr>
                <w:color w:val="auto"/>
                <w:highlight w:val="none"/>
              </w:rPr>
            </w:pPr>
            <w:r>
              <w:rPr>
                <w:rFonts w:hint="eastAsia"/>
                <w:color w:val="auto"/>
                <w:highlight w:val="none"/>
              </w:rPr>
              <w:t>发包人电话</w:t>
            </w:r>
          </w:p>
        </w:tc>
        <w:tc>
          <w:tcPr>
            <w:tcW w:w="6582" w:type="dxa"/>
            <w:tcBorders>
              <w:top w:val="outset" w:color="auto" w:sz="6" w:space="0"/>
              <w:left w:val="outset" w:color="auto" w:sz="6" w:space="0"/>
              <w:bottom w:val="outset" w:color="auto" w:sz="6" w:space="0"/>
              <w:right w:val="outset" w:color="auto" w:sz="6" w:space="0"/>
            </w:tcBorders>
            <w:vAlign w:val="center"/>
          </w:tcPr>
          <w:p>
            <w:pPr>
              <w:spacing w:line="360" w:lineRule="auto"/>
              <w:ind w:firstLine="420" w:firstLineChars="200"/>
              <w:rPr>
                <w:rFonts w:ascii="宋体"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40" w:type="dxa"/>
            <w:tcBorders>
              <w:top w:val="outset" w:color="auto" w:sz="6" w:space="0"/>
              <w:left w:val="outset" w:color="auto" w:sz="6" w:space="0"/>
              <w:bottom w:val="outset" w:color="auto" w:sz="6" w:space="0"/>
              <w:right w:val="outset" w:color="auto" w:sz="6" w:space="0"/>
            </w:tcBorders>
            <w:vAlign w:val="center"/>
          </w:tcPr>
          <w:p>
            <w:pPr>
              <w:jc w:val="center"/>
              <w:rPr>
                <w:color w:val="auto"/>
                <w:highlight w:val="none"/>
              </w:rPr>
            </w:pPr>
            <w:r>
              <w:rPr>
                <w:rFonts w:hint="eastAsia"/>
                <w:color w:val="auto"/>
                <w:highlight w:val="none"/>
              </w:rPr>
              <w:t>合同价格</w:t>
            </w:r>
          </w:p>
        </w:tc>
        <w:tc>
          <w:tcPr>
            <w:tcW w:w="6582" w:type="dxa"/>
            <w:tcBorders>
              <w:top w:val="outset" w:color="auto" w:sz="6" w:space="0"/>
              <w:left w:val="outset" w:color="auto" w:sz="6" w:space="0"/>
              <w:bottom w:val="outset" w:color="auto" w:sz="6" w:space="0"/>
              <w:right w:val="outset" w:color="auto" w:sz="6" w:space="0"/>
            </w:tcBorders>
            <w:vAlign w:val="center"/>
          </w:tcPr>
          <w:p>
            <w:pPr>
              <w:spacing w:line="360" w:lineRule="auto"/>
              <w:ind w:firstLine="420" w:firstLineChars="200"/>
              <w:rPr>
                <w:rFonts w:ascii="宋体"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40" w:type="dxa"/>
            <w:tcBorders>
              <w:top w:val="outset" w:color="auto" w:sz="6" w:space="0"/>
              <w:left w:val="outset" w:color="auto" w:sz="6" w:space="0"/>
              <w:bottom w:val="outset" w:color="auto" w:sz="6" w:space="0"/>
              <w:right w:val="outset" w:color="auto" w:sz="6" w:space="0"/>
            </w:tcBorders>
            <w:vAlign w:val="center"/>
          </w:tcPr>
          <w:p>
            <w:pPr>
              <w:jc w:val="center"/>
              <w:rPr>
                <w:color w:val="auto"/>
                <w:highlight w:val="none"/>
              </w:rPr>
            </w:pPr>
            <w:r>
              <w:rPr>
                <w:rFonts w:hint="eastAsia"/>
                <w:color w:val="auto"/>
                <w:highlight w:val="none"/>
              </w:rPr>
              <w:t>开工日期</w:t>
            </w:r>
          </w:p>
        </w:tc>
        <w:tc>
          <w:tcPr>
            <w:tcW w:w="6582" w:type="dxa"/>
            <w:tcBorders>
              <w:top w:val="outset" w:color="auto" w:sz="6" w:space="0"/>
              <w:left w:val="outset" w:color="auto" w:sz="6" w:space="0"/>
              <w:bottom w:val="outset" w:color="auto" w:sz="6" w:space="0"/>
              <w:right w:val="outset" w:color="auto" w:sz="6" w:space="0"/>
            </w:tcBorders>
            <w:vAlign w:val="center"/>
          </w:tcPr>
          <w:p>
            <w:pPr>
              <w:spacing w:line="360" w:lineRule="auto"/>
              <w:ind w:firstLine="420" w:firstLineChars="200"/>
              <w:rPr>
                <w:rFonts w:ascii="宋体"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40" w:type="dxa"/>
            <w:tcBorders>
              <w:top w:val="outset" w:color="auto" w:sz="6" w:space="0"/>
              <w:left w:val="outset" w:color="auto" w:sz="6" w:space="0"/>
              <w:bottom w:val="outset" w:color="auto" w:sz="6" w:space="0"/>
              <w:right w:val="outset" w:color="auto" w:sz="6" w:space="0"/>
            </w:tcBorders>
            <w:vAlign w:val="center"/>
          </w:tcPr>
          <w:p>
            <w:pPr>
              <w:jc w:val="center"/>
              <w:rPr>
                <w:color w:val="auto"/>
                <w:highlight w:val="none"/>
              </w:rPr>
            </w:pPr>
            <w:r>
              <w:rPr>
                <w:rFonts w:hint="eastAsia"/>
                <w:color w:val="auto"/>
                <w:highlight w:val="none"/>
              </w:rPr>
              <w:t>竣工日期</w:t>
            </w:r>
          </w:p>
        </w:tc>
        <w:tc>
          <w:tcPr>
            <w:tcW w:w="6582" w:type="dxa"/>
            <w:tcBorders>
              <w:top w:val="outset" w:color="auto" w:sz="6" w:space="0"/>
              <w:left w:val="outset" w:color="auto" w:sz="6" w:space="0"/>
              <w:bottom w:val="outset" w:color="auto" w:sz="6" w:space="0"/>
              <w:right w:val="outset" w:color="auto" w:sz="6" w:space="0"/>
            </w:tcBorders>
            <w:vAlign w:val="center"/>
          </w:tcPr>
          <w:p>
            <w:pPr>
              <w:spacing w:line="360" w:lineRule="auto"/>
              <w:ind w:firstLine="420" w:firstLineChars="200"/>
              <w:rPr>
                <w:rFonts w:ascii="宋体"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40" w:type="dxa"/>
            <w:tcBorders>
              <w:top w:val="outset" w:color="auto" w:sz="6" w:space="0"/>
              <w:left w:val="outset" w:color="auto" w:sz="6" w:space="0"/>
              <w:bottom w:val="outset" w:color="auto" w:sz="6" w:space="0"/>
              <w:right w:val="outset" w:color="auto" w:sz="6" w:space="0"/>
            </w:tcBorders>
            <w:vAlign w:val="center"/>
          </w:tcPr>
          <w:p>
            <w:pPr>
              <w:jc w:val="center"/>
              <w:rPr>
                <w:color w:val="auto"/>
                <w:highlight w:val="none"/>
              </w:rPr>
            </w:pPr>
            <w:r>
              <w:rPr>
                <w:rFonts w:hint="eastAsia"/>
                <w:color w:val="auto"/>
                <w:highlight w:val="none"/>
              </w:rPr>
              <w:t>承担的工作</w:t>
            </w:r>
          </w:p>
        </w:tc>
        <w:tc>
          <w:tcPr>
            <w:tcW w:w="6582" w:type="dxa"/>
            <w:tcBorders>
              <w:top w:val="outset" w:color="auto" w:sz="6" w:space="0"/>
              <w:left w:val="outset" w:color="auto" w:sz="6" w:space="0"/>
              <w:bottom w:val="outset" w:color="auto" w:sz="6" w:space="0"/>
              <w:right w:val="outset" w:color="auto" w:sz="6" w:space="0"/>
            </w:tcBorders>
            <w:vAlign w:val="center"/>
          </w:tcPr>
          <w:p>
            <w:pPr>
              <w:spacing w:line="360" w:lineRule="auto"/>
              <w:ind w:firstLine="420" w:firstLineChars="200"/>
              <w:rPr>
                <w:rFonts w:ascii="宋体"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40" w:type="dxa"/>
            <w:tcBorders>
              <w:top w:val="outset" w:color="auto" w:sz="6" w:space="0"/>
              <w:left w:val="outset" w:color="auto" w:sz="6" w:space="0"/>
              <w:bottom w:val="outset" w:color="auto" w:sz="6" w:space="0"/>
              <w:right w:val="outset" w:color="auto" w:sz="6" w:space="0"/>
            </w:tcBorders>
            <w:vAlign w:val="center"/>
          </w:tcPr>
          <w:p>
            <w:pPr>
              <w:jc w:val="center"/>
              <w:rPr>
                <w:color w:val="auto"/>
                <w:highlight w:val="none"/>
              </w:rPr>
            </w:pPr>
            <w:r>
              <w:rPr>
                <w:rFonts w:hint="eastAsia"/>
                <w:color w:val="auto"/>
                <w:highlight w:val="none"/>
              </w:rPr>
              <w:t>工程质量</w:t>
            </w:r>
          </w:p>
        </w:tc>
        <w:tc>
          <w:tcPr>
            <w:tcW w:w="6582" w:type="dxa"/>
            <w:tcBorders>
              <w:top w:val="outset" w:color="auto" w:sz="6" w:space="0"/>
              <w:left w:val="outset" w:color="auto" w:sz="6" w:space="0"/>
              <w:bottom w:val="outset" w:color="auto" w:sz="6" w:space="0"/>
              <w:right w:val="outset" w:color="auto" w:sz="6" w:space="0"/>
            </w:tcBorders>
            <w:vAlign w:val="center"/>
          </w:tcPr>
          <w:p>
            <w:pPr>
              <w:spacing w:line="360" w:lineRule="auto"/>
              <w:ind w:firstLine="420" w:firstLineChars="200"/>
              <w:rPr>
                <w:rFonts w:ascii="宋体"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40" w:type="dxa"/>
            <w:tcBorders>
              <w:top w:val="outset" w:color="auto" w:sz="6" w:space="0"/>
              <w:left w:val="outset" w:color="auto" w:sz="6" w:space="0"/>
              <w:bottom w:val="outset" w:color="auto" w:sz="6" w:space="0"/>
              <w:right w:val="outset" w:color="auto" w:sz="6" w:space="0"/>
            </w:tcBorders>
            <w:vAlign w:val="center"/>
          </w:tcPr>
          <w:p>
            <w:pPr>
              <w:jc w:val="center"/>
              <w:rPr>
                <w:color w:val="auto"/>
                <w:highlight w:val="none"/>
              </w:rPr>
            </w:pPr>
            <w:r>
              <w:rPr>
                <w:rFonts w:hint="eastAsia"/>
                <w:color w:val="auto"/>
                <w:highlight w:val="none"/>
              </w:rPr>
              <w:t>项目负责人</w:t>
            </w:r>
          </w:p>
        </w:tc>
        <w:tc>
          <w:tcPr>
            <w:tcW w:w="6582" w:type="dxa"/>
            <w:tcBorders>
              <w:top w:val="outset" w:color="auto" w:sz="6" w:space="0"/>
              <w:left w:val="outset" w:color="auto" w:sz="6" w:space="0"/>
              <w:bottom w:val="outset" w:color="auto" w:sz="6" w:space="0"/>
              <w:right w:val="outset" w:color="auto" w:sz="6" w:space="0"/>
            </w:tcBorders>
            <w:vAlign w:val="center"/>
          </w:tcPr>
          <w:p>
            <w:pPr>
              <w:spacing w:line="360" w:lineRule="auto"/>
              <w:ind w:firstLine="420" w:firstLineChars="200"/>
              <w:rPr>
                <w:rFonts w:ascii="宋体"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25" w:hRule="atLeast"/>
        </w:trPr>
        <w:tc>
          <w:tcPr>
            <w:tcW w:w="1940" w:type="dxa"/>
            <w:tcBorders>
              <w:top w:val="outset" w:color="auto" w:sz="6" w:space="0"/>
              <w:left w:val="outset" w:color="auto" w:sz="6" w:space="0"/>
              <w:bottom w:val="outset" w:color="auto" w:sz="6" w:space="0"/>
              <w:right w:val="outset" w:color="auto" w:sz="6" w:space="0"/>
            </w:tcBorders>
            <w:vAlign w:val="center"/>
          </w:tcPr>
          <w:p>
            <w:pPr>
              <w:jc w:val="center"/>
              <w:rPr>
                <w:color w:val="auto"/>
                <w:highlight w:val="none"/>
              </w:rPr>
            </w:pPr>
            <w:r>
              <w:rPr>
                <w:rFonts w:hint="eastAsia"/>
                <w:color w:val="auto"/>
                <w:highlight w:val="none"/>
              </w:rPr>
              <w:t>项目描述</w:t>
            </w:r>
          </w:p>
        </w:tc>
        <w:tc>
          <w:tcPr>
            <w:tcW w:w="6582" w:type="dxa"/>
            <w:tcBorders>
              <w:top w:val="outset" w:color="auto" w:sz="6" w:space="0"/>
              <w:left w:val="outset" w:color="auto" w:sz="6" w:space="0"/>
              <w:bottom w:val="outset" w:color="auto" w:sz="6" w:space="0"/>
              <w:right w:val="outset" w:color="auto" w:sz="6" w:space="0"/>
            </w:tcBorders>
            <w:vAlign w:val="center"/>
          </w:tcPr>
          <w:p>
            <w:pPr>
              <w:spacing w:line="360" w:lineRule="auto"/>
              <w:ind w:firstLine="420" w:firstLineChars="200"/>
              <w:rPr>
                <w:rFonts w:ascii="宋体"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6" w:hRule="atLeast"/>
        </w:trPr>
        <w:tc>
          <w:tcPr>
            <w:tcW w:w="1940" w:type="dxa"/>
            <w:tcBorders>
              <w:top w:val="outset" w:color="auto" w:sz="6" w:space="0"/>
              <w:left w:val="outset" w:color="auto" w:sz="6" w:space="0"/>
              <w:bottom w:val="outset" w:color="auto" w:sz="6" w:space="0"/>
              <w:right w:val="outset" w:color="auto" w:sz="6" w:space="0"/>
            </w:tcBorders>
            <w:vAlign w:val="center"/>
          </w:tcPr>
          <w:p>
            <w:pPr>
              <w:jc w:val="center"/>
              <w:rPr>
                <w:color w:val="auto"/>
                <w:highlight w:val="none"/>
              </w:rPr>
            </w:pPr>
            <w:r>
              <w:rPr>
                <w:rFonts w:hint="eastAsia"/>
                <w:color w:val="auto"/>
                <w:highlight w:val="none"/>
              </w:rPr>
              <w:t>备注</w:t>
            </w:r>
          </w:p>
        </w:tc>
        <w:tc>
          <w:tcPr>
            <w:tcW w:w="6582" w:type="dxa"/>
            <w:tcBorders>
              <w:top w:val="outset" w:color="auto" w:sz="6" w:space="0"/>
              <w:left w:val="outset" w:color="auto" w:sz="6" w:space="0"/>
              <w:bottom w:val="outset" w:color="auto" w:sz="6" w:space="0"/>
              <w:right w:val="outset" w:color="auto" w:sz="6" w:space="0"/>
            </w:tcBorders>
            <w:vAlign w:val="center"/>
          </w:tcPr>
          <w:p>
            <w:pPr>
              <w:spacing w:line="360" w:lineRule="auto"/>
              <w:ind w:firstLine="420" w:firstLineChars="200"/>
              <w:rPr>
                <w:rFonts w:ascii="宋体" w:hAnsi="宋体"/>
                <w:color w:val="auto"/>
                <w:szCs w:val="21"/>
                <w:highlight w:val="none"/>
              </w:rPr>
            </w:pPr>
          </w:p>
        </w:tc>
      </w:tr>
    </w:tbl>
    <w:p>
      <w:pPr>
        <w:keepNext/>
        <w:keepLines/>
        <w:jc w:val="center"/>
        <w:rPr>
          <w:rFonts w:ascii="黑体" w:hAnsi="黑体" w:eastAsia="黑体"/>
          <w:b/>
          <w:color w:val="auto"/>
          <w:sz w:val="32"/>
          <w:szCs w:val="32"/>
          <w:highlight w:val="none"/>
        </w:rPr>
      </w:pPr>
    </w:p>
    <w:p>
      <w:pPr>
        <w:keepNext/>
        <w:keepLines/>
        <w:jc w:val="center"/>
        <w:rPr>
          <w:rFonts w:ascii="黑体" w:hAnsi="黑体" w:eastAsia="黑体"/>
          <w:b/>
          <w:color w:val="auto"/>
          <w:sz w:val="32"/>
          <w:szCs w:val="32"/>
          <w:highlight w:val="none"/>
        </w:rPr>
      </w:pPr>
    </w:p>
    <w:p>
      <w:pPr>
        <w:keepNext/>
        <w:keepLines/>
        <w:jc w:val="center"/>
        <w:rPr>
          <w:rFonts w:ascii="黑体" w:hAnsi="黑体" w:eastAsia="黑体"/>
          <w:b/>
          <w:color w:val="auto"/>
          <w:sz w:val="32"/>
          <w:szCs w:val="32"/>
          <w:highlight w:val="none"/>
        </w:rPr>
      </w:pPr>
    </w:p>
    <w:p>
      <w:pPr>
        <w:keepNext/>
        <w:keepLines/>
        <w:jc w:val="center"/>
        <w:rPr>
          <w:rFonts w:ascii="黑体" w:hAnsi="黑体" w:eastAsia="黑体"/>
          <w:b/>
          <w:color w:val="auto"/>
          <w:sz w:val="32"/>
          <w:szCs w:val="32"/>
          <w:highlight w:val="none"/>
        </w:rPr>
      </w:pPr>
    </w:p>
    <w:p>
      <w:pPr>
        <w:keepNext/>
        <w:keepLines/>
        <w:jc w:val="center"/>
        <w:rPr>
          <w:rFonts w:ascii="黑体" w:hAnsi="黑体" w:eastAsia="黑体"/>
          <w:b/>
          <w:color w:val="auto"/>
          <w:sz w:val="32"/>
          <w:szCs w:val="32"/>
          <w:highlight w:val="none"/>
        </w:rPr>
      </w:pPr>
    </w:p>
    <w:p>
      <w:pPr>
        <w:keepNext/>
        <w:keepLines/>
        <w:jc w:val="center"/>
        <w:rPr>
          <w:rFonts w:ascii="黑体" w:hAnsi="黑体" w:eastAsia="黑体"/>
          <w:b/>
          <w:color w:val="auto"/>
          <w:sz w:val="32"/>
          <w:szCs w:val="32"/>
          <w:highlight w:val="none"/>
        </w:rPr>
      </w:pPr>
    </w:p>
    <w:p>
      <w:pPr>
        <w:keepNext/>
        <w:keepLines/>
        <w:jc w:val="center"/>
        <w:rPr>
          <w:rFonts w:ascii="黑体" w:hAnsi="黑体" w:eastAsia="黑体"/>
          <w:b/>
          <w:color w:val="auto"/>
          <w:sz w:val="32"/>
          <w:szCs w:val="32"/>
          <w:highlight w:val="none"/>
        </w:rPr>
      </w:pPr>
    </w:p>
    <w:p>
      <w:pPr>
        <w:pStyle w:val="2"/>
        <w:ind w:firstLine="321"/>
        <w:rPr>
          <w:rFonts w:ascii="黑体" w:hAnsi="黑体" w:eastAsia="黑体"/>
          <w:b/>
          <w:color w:val="auto"/>
          <w:sz w:val="32"/>
          <w:szCs w:val="32"/>
          <w:highlight w:val="none"/>
        </w:rPr>
      </w:pPr>
    </w:p>
    <w:p>
      <w:pPr>
        <w:rPr>
          <w:color w:val="auto"/>
          <w:highlight w:val="none"/>
        </w:rPr>
      </w:pPr>
    </w:p>
    <w:p>
      <w:pPr>
        <w:jc w:val="left"/>
        <w:rPr>
          <w:color w:val="auto"/>
          <w:highlight w:val="none"/>
        </w:rPr>
      </w:pPr>
    </w:p>
    <w:p>
      <w:pPr>
        <w:jc w:val="left"/>
        <w:rPr>
          <w:color w:val="auto"/>
          <w:highlight w:val="none"/>
        </w:rPr>
      </w:pPr>
    </w:p>
    <w:p>
      <w:pPr>
        <w:keepNext/>
        <w:keepLines/>
        <w:jc w:val="center"/>
        <w:rPr>
          <w:rFonts w:ascii="黑体" w:hAnsi="黑体" w:eastAsia="黑体"/>
          <w:b/>
          <w:color w:val="auto"/>
          <w:sz w:val="32"/>
          <w:szCs w:val="32"/>
          <w:highlight w:val="none"/>
        </w:rPr>
      </w:pPr>
    </w:p>
    <w:p>
      <w:pPr>
        <w:pStyle w:val="2"/>
        <w:ind w:firstLine="340"/>
        <w:rPr>
          <w:color w:val="auto"/>
          <w:highlight w:val="none"/>
        </w:rPr>
      </w:pPr>
    </w:p>
    <w:p>
      <w:pPr>
        <w:keepNext/>
        <w:keepLines/>
        <w:jc w:val="center"/>
        <w:rPr>
          <w:rFonts w:ascii="黑体" w:hAnsi="黑体" w:eastAsia="黑体"/>
          <w:b/>
          <w:color w:val="auto"/>
          <w:sz w:val="32"/>
          <w:szCs w:val="32"/>
          <w:highlight w:val="none"/>
        </w:rPr>
      </w:pPr>
      <w:r>
        <w:rPr>
          <w:rFonts w:hint="eastAsia" w:ascii="黑体" w:hAnsi="黑体" w:eastAsia="黑体"/>
          <w:b/>
          <w:color w:val="auto"/>
          <w:sz w:val="32"/>
          <w:szCs w:val="32"/>
          <w:highlight w:val="none"/>
        </w:rPr>
        <w:t>正在施工的和新承接的项目情况表</w:t>
      </w:r>
    </w:p>
    <w:tbl>
      <w:tblPr>
        <w:tblStyle w:val="27"/>
        <w:tblW w:w="8414"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196"/>
        <w:gridCol w:w="52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3" w:hRule="atLeast"/>
        </w:trPr>
        <w:tc>
          <w:tcPr>
            <w:tcW w:w="3196" w:type="dxa"/>
          </w:tcPr>
          <w:p>
            <w:pPr>
              <w:spacing w:line="360" w:lineRule="auto"/>
              <w:rPr>
                <w:rFonts w:ascii="宋体" w:hAnsi="宋体"/>
                <w:color w:val="auto"/>
                <w:szCs w:val="21"/>
                <w:highlight w:val="none"/>
              </w:rPr>
            </w:pPr>
            <w:r>
              <w:rPr>
                <w:rFonts w:hint="eastAsia" w:ascii="宋体" w:hAnsi="宋体"/>
                <w:color w:val="auto"/>
                <w:szCs w:val="21"/>
                <w:highlight w:val="none"/>
              </w:rPr>
              <w:t>项目名称</w:t>
            </w:r>
          </w:p>
        </w:tc>
        <w:tc>
          <w:tcPr>
            <w:tcW w:w="5218" w:type="dxa"/>
          </w:tcPr>
          <w:p>
            <w:pPr>
              <w:spacing w:line="360" w:lineRule="auto"/>
              <w:rPr>
                <w:rFonts w:ascii="宋体"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4" w:hRule="atLeast"/>
        </w:trPr>
        <w:tc>
          <w:tcPr>
            <w:tcW w:w="3196" w:type="dxa"/>
          </w:tcPr>
          <w:p>
            <w:pPr>
              <w:spacing w:line="360" w:lineRule="auto"/>
              <w:rPr>
                <w:rFonts w:ascii="宋体" w:hAnsi="宋体"/>
                <w:color w:val="auto"/>
                <w:szCs w:val="21"/>
                <w:highlight w:val="none"/>
              </w:rPr>
            </w:pPr>
            <w:r>
              <w:rPr>
                <w:rFonts w:hint="eastAsia" w:ascii="宋体" w:hAnsi="宋体"/>
                <w:color w:val="auto"/>
                <w:szCs w:val="21"/>
                <w:highlight w:val="none"/>
              </w:rPr>
              <w:t>项目所在地</w:t>
            </w:r>
          </w:p>
        </w:tc>
        <w:tc>
          <w:tcPr>
            <w:tcW w:w="5218" w:type="dxa"/>
          </w:tcPr>
          <w:p>
            <w:pPr>
              <w:spacing w:line="360" w:lineRule="auto"/>
              <w:rPr>
                <w:rFonts w:ascii="宋体"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3" w:hRule="atLeast"/>
        </w:trPr>
        <w:tc>
          <w:tcPr>
            <w:tcW w:w="3196" w:type="dxa"/>
          </w:tcPr>
          <w:p>
            <w:pPr>
              <w:spacing w:line="360" w:lineRule="auto"/>
              <w:rPr>
                <w:rFonts w:ascii="宋体" w:hAnsi="宋体"/>
                <w:color w:val="auto"/>
                <w:szCs w:val="21"/>
                <w:highlight w:val="none"/>
              </w:rPr>
            </w:pPr>
            <w:r>
              <w:rPr>
                <w:rFonts w:hint="eastAsia" w:ascii="宋体" w:hAnsi="宋体"/>
                <w:color w:val="auto"/>
                <w:szCs w:val="21"/>
                <w:highlight w:val="none"/>
              </w:rPr>
              <w:t>发包人名称</w:t>
            </w:r>
          </w:p>
        </w:tc>
        <w:tc>
          <w:tcPr>
            <w:tcW w:w="5218" w:type="dxa"/>
          </w:tcPr>
          <w:p>
            <w:pPr>
              <w:spacing w:line="360" w:lineRule="auto"/>
              <w:rPr>
                <w:rFonts w:ascii="宋体"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4" w:hRule="atLeast"/>
        </w:trPr>
        <w:tc>
          <w:tcPr>
            <w:tcW w:w="3196" w:type="dxa"/>
          </w:tcPr>
          <w:p>
            <w:pPr>
              <w:spacing w:line="360" w:lineRule="auto"/>
              <w:rPr>
                <w:rFonts w:ascii="宋体" w:hAnsi="宋体"/>
                <w:color w:val="auto"/>
                <w:szCs w:val="21"/>
                <w:highlight w:val="none"/>
              </w:rPr>
            </w:pPr>
            <w:r>
              <w:rPr>
                <w:rFonts w:hint="eastAsia" w:ascii="宋体" w:hAnsi="宋体"/>
                <w:color w:val="auto"/>
                <w:szCs w:val="21"/>
                <w:highlight w:val="none"/>
              </w:rPr>
              <w:t>发包人地址</w:t>
            </w:r>
          </w:p>
        </w:tc>
        <w:tc>
          <w:tcPr>
            <w:tcW w:w="5218" w:type="dxa"/>
          </w:tcPr>
          <w:p>
            <w:pPr>
              <w:spacing w:line="360" w:lineRule="auto"/>
              <w:rPr>
                <w:rFonts w:ascii="宋体"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4" w:hRule="atLeast"/>
        </w:trPr>
        <w:tc>
          <w:tcPr>
            <w:tcW w:w="3196" w:type="dxa"/>
          </w:tcPr>
          <w:p>
            <w:pPr>
              <w:spacing w:line="360" w:lineRule="auto"/>
              <w:rPr>
                <w:rFonts w:ascii="宋体" w:hAnsi="宋体"/>
                <w:color w:val="auto"/>
                <w:szCs w:val="21"/>
                <w:highlight w:val="none"/>
              </w:rPr>
            </w:pPr>
            <w:r>
              <w:rPr>
                <w:rFonts w:hint="eastAsia" w:ascii="宋体" w:hAnsi="宋体"/>
                <w:color w:val="auto"/>
                <w:szCs w:val="21"/>
                <w:highlight w:val="none"/>
              </w:rPr>
              <w:t>发包人电话</w:t>
            </w:r>
          </w:p>
        </w:tc>
        <w:tc>
          <w:tcPr>
            <w:tcW w:w="5218" w:type="dxa"/>
          </w:tcPr>
          <w:p>
            <w:pPr>
              <w:spacing w:line="360" w:lineRule="auto"/>
              <w:rPr>
                <w:rFonts w:ascii="宋体"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3" w:hRule="atLeast"/>
        </w:trPr>
        <w:tc>
          <w:tcPr>
            <w:tcW w:w="3196" w:type="dxa"/>
          </w:tcPr>
          <w:p>
            <w:pPr>
              <w:spacing w:line="360" w:lineRule="auto"/>
              <w:rPr>
                <w:rFonts w:ascii="宋体" w:hAnsi="宋体"/>
                <w:color w:val="auto"/>
                <w:szCs w:val="21"/>
                <w:highlight w:val="none"/>
              </w:rPr>
            </w:pPr>
            <w:r>
              <w:rPr>
                <w:rFonts w:hint="eastAsia" w:ascii="宋体" w:hAnsi="宋体"/>
                <w:color w:val="auto"/>
                <w:szCs w:val="21"/>
                <w:highlight w:val="none"/>
              </w:rPr>
              <w:t>签约合同价</w:t>
            </w:r>
          </w:p>
        </w:tc>
        <w:tc>
          <w:tcPr>
            <w:tcW w:w="5218" w:type="dxa"/>
          </w:tcPr>
          <w:p>
            <w:pPr>
              <w:spacing w:line="360" w:lineRule="auto"/>
              <w:rPr>
                <w:rFonts w:ascii="宋体"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4" w:hRule="atLeast"/>
        </w:trPr>
        <w:tc>
          <w:tcPr>
            <w:tcW w:w="3196" w:type="dxa"/>
          </w:tcPr>
          <w:p>
            <w:pPr>
              <w:spacing w:line="360" w:lineRule="auto"/>
              <w:rPr>
                <w:rFonts w:ascii="宋体" w:hAnsi="宋体"/>
                <w:color w:val="auto"/>
                <w:szCs w:val="21"/>
                <w:highlight w:val="none"/>
              </w:rPr>
            </w:pPr>
            <w:r>
              <w:rPr>
                <w:rFonts w:hint="eastAsia" w:ascii="宋体" w:hAnsi="宋体"/>
                <w:color w:val="auto"/>
                <w:szCs w:val="21"/>
                <w:highlight w:val="none"/>
              </w:rPr>
              <w:t>开工日期</w:t>
            </w:r>
          </w:p>
        </w:tc>
        <w:tc>
          <w:tcPr>
            <w:tcW w:w="5218" w:type="dxa"/>
          </w:tcPr>
          <w:p>
            <w:pPr>
              <w:spacing w:line="360" w:lineRule="auto"/>
              <w:rPr>
                <w:rFonts w:ascii="宋体"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3" w:hRule="atLeast"/>
        </w:trPr>
        <w:tc>
          <w:tcPr>
            <w:tcW w:w="3196" w:type="dxa"/>
          </w:tcPr>
          <w:p>
            <w:pPr>
              <w:spacing w:line="360" w:lineRule="auto"/>
              <w:rPr>
                <w:rFonts w:ascii="宋体" w:hAnsi="宋体"/>
                <w:color w:val="auto"/>
                <w:szCs w:val="21"/>
                <w:highlight w:val="none"/>
              </w:rPr>
            </w:pPr>
            <w:r>
              <w:rPr>
                <w:rFonts w:hint="eastAsia" w:ascii="宋体" w:hAnsi="宋体"/>
                <w:color w:val="auto"/>
                <w:szCs w:val="21"/>
                <w:highlight w:val="none"/>
              </w:rPr>
              <w:t>计划竣工日期</w:t>
            </w:r>
          </w:p>
        </w:tc>
        <w:tc>
          <w:tcPr>
            <w:tcW w:w="5218" w:type="dxa"/>
          </w:tcPr>
          <w:p>
            <w:pPr>
              <w:spacing w:line="360" w:lineRule="auto"/>
              <w:rPr>
                <w:rFonts w:ascii="宋体"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4" w:hRule="atLeast"/>
        </w:trPr>
        <w:tc>
          <w:tcPr>
            <w:tcW w:w="3196" w:type="dxa"/>
          </w:tcPr>
          <w:p>
            <w:pPr>
              <w:spacing w:line="360" w:lineRule="auto"/>
              <w:rPr>
                <w:rFonts w:ascii="宋体" w:hAnsi="宋体"/>
                <w:color w:val="auto"/>
                <w:szCs w:val="21"/>
                <w:highlight w:val="none"/>
              </w:rPr>
            </w:pPr>
            <w:r>
              <w:rPr>
                <w:rFonts w:hint="eastAsia" w:ascii="宋体" w:hAnsi="宋体"/>
                <w:color w:val="auto"/>
                <w:szCs w:val="21"/>
                <w:highlight w:val="none"/>
              </w:rPr>
              <w:t>承担的工作</w:t>
            </w:r>
          </w:p>
        </w:tc>
        <w:tc>
          <w:tcPr>
            <w:tcW w:w="5218" w:type="dxa"/>
          </w:tcPr>
          <w:p>
            <w:pPr>
              <w:spacing w:line="360" w:lineRule="auto"/>
              <w:rPr>
                <w:rFonts w:ascii="宋体"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4" w:hRule="atLeast"/>
        </w:trPr>
        <w:tc>
          <w:tcPr>
            <w:tcW w:w="3196" w:type="dxa"/>
          </w:tcPr>
          <w:p>
            <w:pPr>
              <w:spacing w:line="360" w:lineRule="auto"/>
              <w:rPr>
                <w:rFonts w:ascii="宋体" w:hAnsi="宋体"/>
                <w:color w:val="auto"/>
                <w:szCs w:val="21"/>
                <w:highlight w:val="none"/>
              </w:rPr>
            </w:pPr>
            <w:r>
              <w:rPr>
                <w:rFonts w:hint="eastAsia" w:ascii="宋体" w:hAnsi="宋体"/>
                <w:color w:val="auto"/>
                <w:szCs w:val="21"/>
                <w:highlight w:val="none"/>
              </w:rPr>
              <w:t>工程质量</w:t>
            </w:r>
          </w:p>
        </w:tc>
        <w:tc>
          <w:tcPr>
            <w:tcW w:w="5218" w:type="dxa"/>
          </w:tcPr>
          <w:p>
            <w:pPr>
              <w:spacing w:line="360" w:lineRule="auto"/>
              <w:rPr>
                <w:rFonts w:ascii="宋体"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3" w:hRule="atLeast"/>
        </w:trPr>
        <w:tc>
          <w:tcPr>
            <w:tcW w:w="3196" w:type="dxa"/>
          </w:tcPr>
          <w:p>
            <w:pPr>
              <w:spacing w:line="360" w:lineRule="auto"/>
              <w:rPr>
                <w:rFonts w:ascii="宋体" w:hAnsi="宋体"/>
                <w:color w:val="auto"/>
                <w:szCs w:val="21"/>
                <w:highlight w:val="none"/>
              </w:rPr>
            </w:pPr>
            <w:r>
              <w:rPr>
                <w:rFonts w:hint="eastAsia" w:ascii="宋体" w:hAnsi="宋体"/>
                <w:color w:val="auto"/>
                <w:szCs w:val="21"/>
                <w:highlight w:val="none"/>
              </w:rPr>
              <w:t>项目经理</w:t>
            </w:r>
          </w:p>
        </w:tc>
        <w:tc>
          <w:tcPr>
            <w:tcW w:w="5218" w:type="dxa"/>
          </w:tcPr>
          <w:p>
            <w:pPr>
              <w:spacing w:line="360" w:lineRule="auto"/>
              <w:rPr>
                <w:rFonts w:ascii="宋体"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4" w:hRule="atLeast"/>
        </w:trPr>
        <w:tc>
          <w:tcPr>
            <w:tcW w:w="3196" w:type="dxa"/>
          </w:tcPr>
          <w:p>
            <w:pPr>
              <w:spacing w:line="360" w:lineRule="auto"/>
              <w:rPr>
                <w:rFonts w:ascii="宋体" w:hAnsi="宋体"/>
                <w:color w:val="auto"/>
                <w:szCs w:val="21"/>
                <w:highlight w:val="none"/>
              </w:rPr>
            </w:pPr>
            <w:r>
              <w:rPr>
                <w:rFonts w:hint="eastAsia" w:ascii="宋体" w:hAnsi="宋体"/>
                <w:color w:val="auto"/>
                <w:szCs w:val="21"/>
                <w:highlight w:val="none"/>
              </w:rPr>
              <w:t>技术负责人</w:t>
            </w:r>
          </w:p>
        </w:tc>
        <w:tc>
          <w:tcPr>
            <w:tcW w:w="5218" w:type="dxa"/>
          </w:tcPr>
          <w:p>
            <w:pPr>
              <w:spacing w:line="360" w:lineRule="auto"/>
              <w:rPr>
                <w:rFonts w:ascii="宋体"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29" w:hRule="atLeast"/>
        </w:trPr>
        <w:tc>
          <w:tcPr>
            <w:tcW w:w="3196" w:type="dxa"/>
            <w:vAlign w:val="center"/>
          </w:tcPr>
          <w:p>
            <w:pPr>
              <w:spacing w:line="360" w:lineRule="auto"/>
              <w:rPr>
                <w:rFonts w:ascii="宋体" w:hAnsi="宋体"/>
                <w:color w:val="auto"/>
                <w:szCs w:val="21"/>
                <w:highlight w:val="none"/>
              </w:rPr>
            </w:pPr>
            <w:r>
              <w:rPr>
                <w:rFonts w:hint="eastAsia" w:ascii="宋体" w:hAnsi="宋体"/>
                <w:color w:val="auto"/>
                <w:szCs w:val="21"/>
                <w:highlight w:val="none"/>
              </w:rPr>
              <w:t>项目描述</w:t>
            </w:r>
          </w:p>
        </w:tc>
        <w:tc>
          <w:tcPr>
            <w:tcW w:w="5218" w:type="dxa"/>
          </w:tcPr>
          <w:p>
            <w:pPr>
              <w:spacing w:line="360" w:lineRule="auto"/>
              <w:ind w:firstLine="420" w:firstLineChars="200"/>
              <w:rPr>
                <w:rFonts w:ascii="宋体"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9" w:hRule="atLeast"/>
        </w:trPr>
        <w:tc>
          <w:tcPr>
            <w:tcW w:w="3196" w:type="dxa"/>
          </w:tcPr>
          <w:p>
            <w:pPr>
              <w:spacing w:line="360" w:lineRule="auto"/>
              <w:rPr>
                <w:rFonts w:ascii="宋体" w:hAnsi="宋体"/>
                <w:color w:val="auto"/>
                <w:szCs w:val="21"/>
                <w:highlight w:val="none"/>
              </w:rPr>
            </w:pPr>
            <w:r>
              <w:rPr>
                <w:rFonts w:hint="eastAsia" w:ascii="宋体" w:hAnsi="宋体"/>
                <w:color w:val="auto"/>
                <w:szCs w:val="21"/>
                <w:highlight w:val="none"/>
              </w:rPr>
              <w:t>备注</w:t>
            </w:r>
          </w:p>
        </w:tc>
        <w:tc>
          <w:tcPr>
            <w:tcW w:w="5218" w:type="dxa"/>
          </w:tcPr>
          <w:p>
            <w:pPr>
              <w:spacing w:line="360" w:lineRule="auto"/>
              <w:rPr>
                <w:rFonts w:ascii="宋体" w:hAnsi="宋体"/>
                <w:color w:val="auto"/>
                <w:szCs w:val="21"/>
                <w:highlight w:val="none"/>
              </w:rPr>
            </w:pPr>
          </w:p>
        </w:tc>
      </w:tr>
    </w:tbl>
    <w:p>
      <w:pPr>
        <w:rPr>
          <w:color w:val="auto"/>
          <w:highlight w:val="none"/>
        </w:rPr>
      </w:pPr>
    </w:p>
    <w:p>
      <w:pPr>
        <w:rPr>
          <w:color w:val="auto"/>
          <w:highlight w:val="none"/>
        </w:rPr>
      </w:pPr>
    </w:p>
    <w:p>
      <w:pPr>
        <w:pStyle w:val="2"/>
        <w:ind w:firstLine="340"/>
        <w:rPr>
          <w:color w:val="auto"/>
          <w:highlight w:val="none"/>
        </w:rPr>
      </w:pPr>
    </w:p>
    <w:p>
      <w:pPr>
        <w:rPr>
          <w:color w:val="auto"/>
          <w:highlight w:val="none"/>
        </w:rPr>
      </w:pPr>
    </w:p>
    <w:p>
      <w:pPr>
        <w:pStyle w:val="2"/>
        <w:ind w:firstLine="340"/>
        <w:rPr>
          <w:color w:val="auto"/>
          <w:highlight w:val="none"/>
        </w:rPr>
      </w:pPr>
    </w:p>
    <w:p>
      <w:pPr>
        <w:rPr>
          <w:color w:val="auto"/>
          <w:highlight w:val="none"/>
        </w:rPr>
      </w:pPr>
    </w:p>
    <w:p>
      <w:pPr>
        <w:pStyle w:val="2"/>
        <w:ind w:firstLine="340"/>
        <w:rPr>
          <w:color w:val="auto"/>
          <w:highlight w:val="none"/>
        </w:rPr>
      </w:pPr>
    </w:p>
    <w:p>
      <w:pPr>
        <w:jc w:val="center"/>
        <w:rPr>
          <w:rFonts w:ascii="黑体" w:hAnsi="黑体" w:eastAsia="黑体"/>
          <w:b/>
          <w:color w:val="auto"/>
          <w:sz w:val="30"/>
          <w:szCs w:val="30"/>
          <w:highlight w:val="none"/>
        </w:rPr>
      </w:pPr>
      <w:r>
        <w:rPr>
          <w:rFonts w:hint="eastAsia" w:ascii="黑体" w:hAnsi="黑体" w:eastAsia="黑体"/>
          <w:b/>
          <w:color w:val="auto"/>
          <w:sz w:val="30"/>
          <w:szCs w:val="30"/>
          <w:highlight w:val="none"/>
        </w:rPr>
        <w:t>拟投入的主要施工人员一览表</w:t>
      </w:r>
    </w:p>
    <w:p>
      <w:pPr>
        <w:spacing w:line="480" w:lineRule="auto"/>
        <w:rPr>
          <w:color w:val="auto"/>
          <w:szCs w:val="21"/>
          <w:highlight w:val="none"/>
        </w:rPr>
      </w:pPr>
      <w:r>
        <w:rPr>
          <w:rFonts w:hint="eastAsia"/>
          <w:color w:val="auto"/>
          <w:szCs w:val="21"/>
          <w:highlight w:val="none"/>
        </w:rPr>
        <w:t>投标人：</w:t>
      </w:r>
      <w:r>
        <w:rPr>
          <w:color w:val="auto"/>
          <w:szCs w:val="21"/>
          <w:highlight w:val="none"/>
        </w:rPr>
        <w:t xml:space="preserve">  </w:t>
      </w:r>
      <w:r>
        <w:rPr>
          <w:rFonts w:hint="eastAsia"/>
          <w:color w:val="auto"/>
          <w:szCs w:val="21"/>
          <w:highlight w:val="none"/>
        </w:rPr>
        <w:t xml:space="preserve">                  </w:t>
      </w:r>
      <w:r>
        <w:rPr>
          <w:color w:val="auto"/>
          <w:szCs w:val="21"/>
          <w:highlight w:val="none"/>
        </w:rPr>
        <w:t xml:space="preserve"> </w:t>
      </w:r>
      <w:r>
        <w:rPr>
          <w:rFonts w:hint="eastAsia"/>
          <w:color w:val="auto"/>
          <w:szCs w:val="21"/>
          <w:highlight w:val="none"/>
        </w:rPr>
        <w:t>（盖章）</w:t>
      </w:r>
    </w:p>
    <w:tbl>
      <w:tblPr>
        <w:tblStyle w:val="27"/>
        <w:tblW w:w="910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8"/>
        <w:gridCol w:w="1586"/>
        <w:gridCol w:w="630"/>
        <w:gridCol w:w="630"/>
        <w:gridCol w:w="1260"/>
        <w:gridCol w:w="1347"/>
        <w:gridCol w:w="1432"/>
        <w:gridCol w:w="139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75" w:hRule="atLeast"/>
        </w:trPr>
        <w:tc>
          <w:tcPr>
            <w:tcW w:w="828"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color w:val="auto"/>
                <w:szCs w:val="21"/>
                <w:highlight w:val="none"/>
              </w:rPr>
            </w:pPr>
            <w:r>
              <w:rPr>
                <w:rFonts w:hint="eastAsia"/>
                <w:color w:val="auto"/>
                <w:szCs w:val="21"/>
                <w:highlight w:val="none"/>
              </w:rPr>
              <w:t>姓名</w:t>
            </w:r>
          </w:p>
        </w:tc>
        <w:tc>
          <w:tcPr>
            <w:tcW w:w="1586"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color w:val="auto"/>
                <w:szCs w:val="21"/>
                <w:highlight w:val="none"/>
              </w:rPr>
            </w:pPr>
            <w:r>
              <w:rPr>
                <w:rFonts w:hint="eastAsia"/>
                <w:color w:val="auto"/>
                <w:szCs w:val="21"/>
                <w:highlight w:val="none"/>
              </w:rPr>
              <w:t>本工程拟任岗位</w:t>
            </w:r>
          </w:p>
        </w:tc>
        <w:tc>
          <w:tcPr>
            <w:tcW w:w="630"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color w:val="auto"/>
                <w:szCs w:val="21"/>
                <w:highlight w:val="none"/>
              </w:rPr>
            </w:pPr>
            <w:r>
              <w:rPr>
                <w:rFonts w:hint="eastAsia"/>
                <w:color w:val="auto"/>
                <w:szCs w:val="21"/>
                <w:highlight w:val="none"/>
              </w:rPr>
              <w:t>年龄</w:t>
            </w:r>
          </w:p>
        </w:tc>
        <w:tc>
          <w:tcPr>
            <w:tcW w:w="630"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color w:val="auto"/>
                <w:szCs w:val="21"/>
                <w:highlight w:val="none"/>
              </w:rPr>
            </w:pPr>
            <w:r>
              <w:rPr>
                <w:rFonts w:hint="eastAsia"/>
                <w:color w:val="auto"/>
                <w:szCs w:val="21"/>
                <w:highlight w:val="none"/>
              </w:rPr>
              <w:t>性别</w:t>
            </w:r>
          </w:p>
        </w:tc>
        <w:tc>
          <w:tcPr>
            <w:tcW w:w="1260"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color w:val="auto"/>
                <w:szCs w:val="21"/>
                <w:highlight w:val="none"/>
              </w:rPr>
            </w:pPr>
            <w:r>
              <w:rPr>
                <w:rFonts w:hint="eastAsia"/>
                <w:color w:val="auto"/>
                <w:szCs w:val="21"/>
                <w:highlight w:val="none"/>
              </w:rPr>
              <w:t>专业学历</w:t>
            </w:r>
          </w:p>
        </w:tc>
        <w:tc>
          <w:tcPr>
            <w:tcW w:w="1347"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color w:val="auto"/>
                <w:szCs w:val="21"/>
                <w:highlight w:val="none"/>
              </w:rPr>
            </w:pPr>
            <w:r>
              <w:rPr>
                <w:rFonts w:hint="eastAsia"/>
                <w:color w:val="auto"/>
                <w:szCs w:val="21"/>
                <w:highlight w:val="none"/>
              </w:rPr>
              <w:t>专业年限</w:t>
            </w:r>
          </w:p>
        </w:tc>
        <w:tc>
          <w:tcPr>
            <w:tcW w:w="1432"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color w:val="auto"/>
                <w:szCs w:val="21"/>
                <w:highlight w:val="none"/>
              </w:rPr>
            </w:pPr>
            <w:r>
              <w:rPr>
                <w:rFonts w:hint="eastAsia"/>
                <w:color w:val="auto"/>
                <w:szCs w:val="21"/>
                <w:highlight w:val="none"/>
              </w:rPr>
              <w:t>现任职务和职称</w:t>
            </w:r>
          </w:p>
        </w:tc>
        <w:tc>
          <w:tcPr>
            <w:tcW w:w="1395"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color w:val="auto"/>
                <w:szCs w:val="21"/>
                <w:highlight w:val="none"/>
              </w:rPr>
            </w:pPr>
            <w:r>
              <w:rPr>
                <w:rFonts w:hint="eastAsia"/>
                <w:color w:val="auto"/>
                <w:szCs w:val="21"/>
                <w:highlight w:val="none"/>
              </w:rPr>
              <w:t>安排上岗起止时间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atLeast"/>
        </w:trPr>
        <w:tc>
          <w:tcPr>
            <w:tcW w:w="828"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586"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63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63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26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347"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432"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395"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atLeast"/>
        </w:trPr>
        <w:tc>
          <w:tcPr>
            <w:tcW w:w="828"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586"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63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63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26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347"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432"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395"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atLeast"/>
        </w:trPr>
        <w:tc>
          <w:tcPr>
            <w:tcW w:w="828"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586"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63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63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26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347"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432"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395"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atLeast"/>
        </w:trPr>
        <w:tc>
          <w:tcPr>
            <w:tcW w:w="828"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586"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63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63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26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347"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432"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395"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atLeast"/>
        </w:trPr>
        <w:tc>
          <w:tcPr>
            <w:tcW w:w="828"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586"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63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63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26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347"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432"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395"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atLeast"/>
        </w:trPr>
        <w:tc>
          <w:tcPr>
            <w:tcW w:w="828"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586"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63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63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26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347"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432"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395"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atLeast"/>
        </w:trPr>
        <w:tc>
          <w:tcPr>
            <w:tcW w:w="828"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586"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63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63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26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347"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432"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395"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atLeast"/>
        </w:trPr>
        <w:tc>
          <w:tcPr>
            <w:tcW w:w="828"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586"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63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63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26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347"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432"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395"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atLeast"/>
        </w:trPr>
        <w:tc>
          <w:tcPr>
            <w:tcW w:w="828"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586"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63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63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26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347"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432"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395"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atLeast"/>
        </w:trPr>
        <w:tc>
          <w:tcPr>
            <w:tcW w:w="828"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586"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63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63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26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347"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432"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395"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atLeast"/>
        </w:trPr>
        <w:tc>
          <w:tcPr>
            <w:tcW w:w="828"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586"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63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63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26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347"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432"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395"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r>
    </w:tbl>
    <w:p>
      <w:pPr>
        <w:spacing w:line="480" w:lineRule="auto"/>
        <w:rPr>
          <w:color w:val="auto"/>
          <w:szCs w:val="21"/>
          <w:highlight w:val="none"/>
        </w:rPr>
      </w:pPr>
      <w:r>
        <w:rPr>
          <w:rFonts w:hint="eastAsia"/>
          <w:color w:val="auto"/>
          <w:szCs w:val="21"/>
          <w:highlight w:val="none"/>
        </w:rPr>
        <w:t>注：</w:t>
      </w:r>
      <w:r>
        <w:rPr>
          <w:color w:val="auto"/>
          <w:szCs w:val="21"/>
          <w:highlight w:val="none"/>
        </w:rPr>
        <w:t>1</w:t>
      </w:r>
      <w:r>
        <w:rPr>
          <w:rFonts w:hint="eastAsia"/>
          <w:color w:val="auto"/>
          <w:szCs w:val="21"/>
          <w:highlight w:val="none"/>
        </w:rPr>
        <w:t>、投标人的项目负责人、项目班组人员均应列入。</w:t>
      </w:r>
      <w:r>
        <w:rPr>
          <w:color w:val="auto"/>
          <w:szCs w:val="21"/>
          <w:highlight w:val="none"/>
        </w:rPr>
        <w:t>2</w:t>
      </w:r>
      <w:r>
        <w:rPr>
          <w:rFonts w:hint="eastAsia"/>
          <w:color w:val="auto"/>
          <w:szCs w:val="21"/>
          <w:highlight w:val="none"/>
        </w:rPr>
        <w:t>、列入本表人员如更换需经过发包单位的同意，擅自更换或不到位均属违约行为。</w:t>
      </w:r>
    </w:p>
    <w:p>
      <w:pPr>
        <w:spacing w:line="480" w:lineRule="auto"/>
        <w:rPr>
          <w:color w:val="auto"/>
          <w:szCs w:val="21"/>
          <w:highlight w:val="none"/>
        </w:rPr>
      </w:pPr>
    </w:p>
    <w:p>
      <w:pPr>
        <w:rPr>
          <w:color w:val="auto"/>
          <w:highlight w:val="none"/>
        </w:rPr>
      </w:pPr>
    </w:p>
    <w:p>
      <w:pPr>
        <w:pStyle w:val="2"/>
        <w:ind w:firstLine="340"/>
        <w:rPr>
          <w:color w:val="auto"/>
          <w:highlight w:val="none"/>
        </w:rPr>
      </w:pPr>
    </w:p>
    <w:p>
      <w:pPr>
        <w:rPr>
          <w:color w:val="auto"/>
          <w:highlight w:val="none"/>
        </w:rPr>
      </w:pPr>
    </w:p>
    <w:p>
      <w:pPr>
        <w:pStyle w:val="2"/>
        <w:ind w:firstLine="340"/>
        <w:rPr>
          <w:color w:val="auto"/>
          <w:highlight w:val="none"/>
        </w:rPr>
      </w:pPr>
    </w:p>
    <w:p>
      <w:pPr>
        <w:jc w:val="center"/>
        <w:rPr>
          <w:rFonts w:ascii="黑体" w:hAnsi="黑体" w:eastAsia="黑体"/>
          <w:b/>
          <w:color w:val="auto"/>
          <w:sz w:val="30"/>
          <w:szCs w:val="30"/>
          <w:highlight w:val="none"/>
        </w:rPr>
      </w:pPr>
    </w:p>
    <w:p>
      <w:pPr>
        <w:jc w:val="center"/>
        <w:rPr>
          <w:rFonts w:ascii="黑体" w:hAnsi="黑体" w:eastAsia="黑体"/>
          <w:b/>
          <w:color w:val="auto"/>
          <w:sz w:val="30"/>
          <w:szCs w:val="30"/>
          <w:highlight w:val="none"/>
        </w:rPr>
      </w:pPr>
      <w:r>
        <w:rPr>
          <w:rFonts w:hint="eastAsia" w:ascii="黑体" w:hAnsi="黑体" w:eastAsia="黑体"/>
          <w:b/>
          <w:color w:val="auto"/>
          <w:sz w:val="30"/>
          <w:szCs w:val="30"/>
          <w:highlight w:val="none"/>
        </w:rPr>
        <w:t>拟投入的主要班组人员的工作履历表</w:t>
      </w:r>
    </w:p>
    <w:p>
      <w:pPr>
        <w:spacing w:line="480" w:lineRule="auto"/>
        <w:rPr>
          <w:color w:val="auto"/>
          <w:szCs w:val="21"/>
          <w:highlight w:val="none"/>
        </w:rPr>
      </w:pPr>
      <w:r>
        <w:rPr>
          <w:rFonts w:hint="eastAsia"/>
          <w:color w:val="auto"/>
          <w:szCs w:val="21"/>
          <w:highlight w:val="none"/>
        </w:rPr>
        <w:t>投标人：</w:t>
      </w:r>
      <w:r>
        <w:rPr>
          <w:color w:val="auto"/>
          <w:szCs w:val="21"/>
          <w:highlight w:val="none"/>
        </w:rPr>
        <w:t xml:space="preserve"> </w:t>
      </w:r>
      <w:r>
        <w:rPr>
          <w:rFonts w:hint="eastAsia"/>
          <w:color w:val="auto"/>
          <w:szCs w:val="21"/>
          <w:highlight w:val="none"/>
        </w:rPr>
        <w:t xml:space="preserve">                      </w:t>
      </w:r>
      <w:r>
        <w:rPr>
          <w:color w:val="auto"/>
          <w:szCs w:val="21"/>
          <w:highlight w:val="none"/>
        </w:rPr>
        <w:t xml:space="preserve"> </w:t>
      </w:r>
      <w:r>
        <w:rPr>
          <w:rFonts w:hint="eastAsia"/>
          <w:color w:val="auto"/>
          <w:szCs w:val="21"/>
          <w:highlight w:val="none"/>
        </w:rPr>
        <w:t>（盖章）</w:t>
      </w:r>
    </w:p>
    <w:tbl>
      <w:tblPr>
        <w:tblStyle w:val="27"/>
        <w:tblW w:w="910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28"/>
        <w:gridCol w:w="14"/>
        <w:gridCol w:w="1242"/>
        <w:gridCol w:w="1242"/>
        <w:gridCol w:w="1242"/>
        <w:gridCol w:w="2290"/>
        <w:gridCol w:w="185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42" w:type="dxa"/>
            <w:gridSpan w:val="2"/>
            <w:tcBorders>
              <w:top w:val="single" w:color="auto" w:sz="4" w:space="0"/>
              <w:left w:val="single" w:color="auto" w:sz="4" w:space="0"/>
              <w:bottom w:val="single" w:color="auto" w:sz="4" w:space="0"/>
              <w:right w:val="single" w:color="auto" w:sz="4" w:space="0"/>
            </w:tcBorders>
            <w:vAlign w:val="center"/>
          </w:tcPr>
          <w:p>
            <w:pPr>
              <w:spacing w:line="480" w:lineRule="auto"/>
              <w:jc w:val="center"/>
              <w:rPr>
                <w:color w:val="auto"/>
                <w:szCs w:val="21"/>
                <w:highlight w:val="none"/>
              </w:rPr>
            </w:pPr>
            <w:r>
              <w:rPr>
                <w:rFonts w:hint="eastAsia"/>
                <w:color w:val="auto"/>
                <w:szCs w:val="21"/>
                <w:highlight w:val="none"/>
              </w:rPr>
              <w:t>姓名</w:t>
            </w:r>
          </w:p>
        </w:tc>
        <w:tc>
          <w:tcPr>
            <w:tcW w:w="1242"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color w:val="auto"/>
                <w:szCs w:val="21"/>
                <w:highlight w:val="none"/>
              </w:rPr>
            </w:pPr>
          </w:p>
        </w:tc>
        <w:tc>
          <w:tcPr>
            <w:tcW w:w="1242"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color w:val="auto"/>
                <w:szCs w:val="21"/>
                <w:highlight w:val="none"/>
              </w:rPr>
            </w:pPr>
            <w:r>
              <w:rPr>
                <w:rFonts w:hint="eastAsia"/>
                <w:color w:val="auto"/>
                <w:szCs w:val="21"/>
                <w:highlight w:val="none"/>
              </w:rPr>
              <w:t>年龄</w:t>
            </w:r>
          </w:p>
        </w:tc>
        <w:tc>
          <w:tcPr>
            <w:tcW w:w="1242"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color w:val="auto"/>
                <w:szCs w:val="21"/>
                <w:highlight w:val="none"/>
              </w:rPr>
            </w:pPr>
          </w:p>
        </w:tc>
        <w:tc>
          <w:tcPr>
            <w:tcW w:w="2290"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color w:val="auto"/>
                <w:szCs w:val="21"/>
                <w:highlight w:val="none"/>
              </w:rPr>
            </w:pPr>
            <w:r>
              <w:rPr>
                <w:rFonts w:hint="eastAsia"/>
                <w:color w:val="auto"/>
                <w:szCs w:val="21"/>
                <w:highlight w:val="none"/>
              </w:rPr>
              <w:t>专业</w:t>
            </w:r>
          </w:p>
        </w:tc>
        <w:tc>
          <w:tcPr>
            <w:tcW w:w="185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7" w:hRule="atLeast"/>
        </w:trPr>
        <w:tc>
          <w:tcPr>
            <w:tcW w:w="1242" w:type="dxa"/>
            <w:gridSpan w:val="2"/>
            <w:tcBorders>
              <w:top w:val="single" w:color="auto" w:sz="4" w:space="0"/>
              <w:left w:val="single" w:color="auto" w:sz="4" w:space="0"/>
              <w:bottom w:val="single" w:color="auto" w:sz="4" w:space="0"/>
              <w:right w:val="single" w:color="auto" w:sz="4" w:space="0"/>
            </w:tcBorders>
            <w:vAlign w:val="center"/>
          </w:tcPr>
          <w:p>
            <w:pPr>
              <w:spacing w:line="480" w:lineRule="auto"/>
              <w:jc w:val="center"/>
              <w:rPr>
                <w:color w:val="auto"/>
                <w:szCs w:val="21"/>
                <w:highlight w:val="none"/>
              </w:rPr>
            </w:pPr>
            <w:r>
              <w:rPr>
                <w:rFonts w:hint="eastAsia"/>
                <w:color w:val="auto"/>
                <w:szCs w:val="21"/>
                <w:highlight w:val="none"/>
              </w:rPr>
              <w:t>职称</w:t>
            </w:r>
          </w:p>
        </w:tc>
        <w:tc>
          <w:tcPr>
            <w:tcW w:w="1242"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color w:val="auto"/>
                <w:szCs w:val="21"/>
                <w:highlight w:val="none"/>
              </w:rPr>
            </w:pPr>
          </w:p>
        </w:tc>
        <w:tc>
          <w:tcPr>
            <w:tcW w:w="1242"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color w:val="auto"/>
                <w:szCs w:val="21"/>
                <w:highlight w:val="none"/>
              </w:rPr>
            </w:pPr>
            <w:r>
              <w:rPr>
                <w:rFonts w:hint="eastAsia"/>
                <w:color w:val="auto"/>
                <w:szCs w:val="21"/>
                <w:highlight w:val="none"/>
              </w:rPr>
              <w:t>职务</w:t>
            </w:r>
          </w:p>
        </w:tc>
        <w:tc>
          <w:tcPr>
            <w:tcW w:w="1242"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color w:val="auto"/>
                <w:szCs w:val="21"/>
                <w:highlight w:val="none"/>
              </w:rPr>
            </w:pPr>
          </w:p>
        </w:tc>
        <w:tc>
          <w:tcPr>
            <w:tcW w:w="2290"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color w:val="auto"/>
                <w:szCs w:val="21"/>
                <w:highlight w:val="none"/>
              </w:rPr>
            </w:pPr>
            <w:r>
              <w:rPr>
                <w:rFonts w:hint="eastAsia"/>
                <w:color w:val="auto"/>
                <w:szCs w:val="21"/>
                <w:highlight w:val="none"/>
              </w:rPr>
              <w:t>拟在本合同</w:t>
            </w:r>
          </w:p>
          <w:p>
            <w:pPr>
              <w:spacing w:line="480" w:lineRule="auto"/>
              <w:jc w:val="center"/>
              <w:rPr>
                <w:color w:val="auto"/>
                <w:szCs w:val="21"/>
                <w:highlight w:val="none"/>
              </w:rPr>
            </w:pPr>
            <w:r>
              <w:rPr>
                <w:rFonts w:hint="eastAsia"/>
                <w:color w:val="auto"/>
                <w:szCs w:val="21"/>
                <w:highlight w:val="none"/>
              </w:rPr>
              <w:t>担任职务</w:t>
            </w:r>
          </w:p>
        </w:tc>
        <w:tc>
          <w:tcPr>
            <w:tcW w:w="185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42" w:type="dxa"/>
            <w:gridSpan w:val="2"/>
            <w:tcBorders>
              <w:top w:val="single" w:color="auto" w:sz="4" w:space="0"/>
              <w:left w:val="single" w:color="auto" w:sz="4" w:space="0"/>
              <w:bottom w:val="single" w:color="auto" w:sz="4" w:space="0"/>
              <w:right w:val="single" w:color="auto" w:sz="4" w:space="0"/>
            </w:tcBorders>
            <w:vAlign w:val="center"/>
          </w:tcPr>
          <w:p>
            <w:pPr>
              <w:spacing w:line="480" w:lineRule="auto"/>
              <w:jc w:val="center"/>
              <w:rPr>
                <w:color w:val="auto"/>
                <w:szCs w:val="21"/>
                <w:highlight w:val="none"/>
              </w:rPr>
            </w:pPr>
            <w:r>
              <w:rPr>
                <w:rFonts w:hint="eastAsia"/>
                <w:color w:val="auto"/>
                <w:szCs w:val="21"/>
                <w:highlight w:val="none"/>
              </w:rPr>
              <w:t>毕业学校</w:t>
            </w:r>
          </w:p>
        </w:tc>
        <w:tc>
          <w:tcPr>
            <w:tcW w:w="7866" w:type="dxa"/>
            <w:gridSpan w:val="5"/>
            <w:tcBorders>
              <w:top w:val="single" w:color="auto" w:sz="4" w:space="0"/>
              <w:left w:val="single" w:color="auto" w:sz="4" w:space="0"/>
              <w:bottom w:val="single" w:color="auto" w:sz="4" w:space="0"/>
              <w:right w:val="single" w:color="auto" w:sz="4" w:space="0"/>
            </w:tcBorders>
            <w:vAlign w:val="center"/>
          </w:tcPr>
          <w:p>
            <w:pPr>
              <w:spacing w:line="480" w:lineRule="auto"/>
              <w:jc w:val="center"/>
              <w:rPr>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108" w:type="dxa"/>
            <w:gridSpan w:val="7"/>
            <w:tcBorders>
              <w:top w:val="single" w:color="auto" w:sz="4" w:space="0"/>
              <w:left w:val="single" w:color="auto" w:sz="4" w:space="0"/>
              <w:bottom w:val="single" w:color="auto" w:sz="4" w:space="0"/>
              <w:right w:val="single" w:color="auto" w:sz="4" w:space="0"/>
            </w:tcBorders>
            <w:vAlign w:val="center"/>
          </w:tcPr>
          <w:p>
            <w:pPr>
              <w:spacing w:line="480" w:lineRule="auto"/>
              <w:jc w:val="center"/>
              <w:rPr>
                <w:color w:val="auto"/>
                <w:szCs w:val="21"/>
                <w:highlight w:val="none"/>
              </w:rPr>
            </w:pPr>
            <w:r>
              <w:rPr>
                <w:rFonts w:hint="eastAsia"/>
                <w:color w:val="auto"/>
                <w:szCs w:val="21"/>
                <w:highlight w:val="none"/>
              </w:rPr>
              <w:t>经</w:t>
            </w:r>
            <w:r>
              <w:rPr>
                <w:color w:val="auto"/>
                <w:szCs w:val="21"/>
                <w:highlight w:val="none"/>
              </w:rPr>
              <w:t xml:space="preserve">               </w:t>
            </w:r>
            <w:r>
              <w:rPr>
                <w:rFonts w:hint="eastAsia"/>
                <w:color w:val="auto"/>
                <w:szCs w:val="21"/>
                <w:highlight w:val="none"/>
              </w:rPr>
              <w:t>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28"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color w:val="auto"/>
                <w:szCs w:val="21"/>
                <w:highlight w:val="none"/>
              </w:rPr>
            </w:pPr>
            <w:r>
              <w:rPr>
                <w:rFonts w:hint="eastAsia"/>
                <w:color w:val="auto"/>
                <w:szCs w:val="21"/>
                <w:highlight w:val="none"/>
              </w:rPr>
              <w:t>年</w:t>
            </w:r>
            <w:r>
              <w:rPr>
                <w:color w:val="auto"/>
                <w:szCs w:val="21"/>
                <w:highlight w:val="none"/>
              </w:rPr>
              <w:t xml:space="preserve">   </w:t>
            </w:r>
            <w:r>
              <w:rPr>
                <w:rFonts w:hint="eastAsia"/>
                <w:color w:val="auto"/>
                <w:szCs w:val="21"/>
                <w:highlight w:val="none"/>
              </w:rPr>
              <w:t>年</w:t>
            </w:r>
          </w:p>
        </w:tc>
        <w:tc>
          <w:tcPr>
            <w:tcW w:w="3740" w:type="dxa"/>
            <w:gridSpan w:val="4"/>
            <w:tcBorders>
              <w:top w:val="single" w:color="auto" w:sz="4" w:space="0"/>
              <w:left w:val="single" w:color="auto" w:sz="4" w:space="0"/>
              <w:bottom w:val="single" w:color="auto" w:sz="4" w:space="0"/>
              <w:right w:val="single" w:color="auto" w:sz="4" w:space="0"/>
            </w:tcBorders>
            <w:vAlign w:val="center"/>
          </w:tcPr>
          <w:p>
            <w:pPr>
              <w:spacing w:line="480" w:lineRule="auto"/>
              <w:jc w:val="center"/>
              <w:rPr>
                <w:color w:val="auto"/>
                <w:szCs w:val="21"/>
                <w:highlight w:val="none"/>
              </w:rPr>
            </w:pPr>
            <w:r>
              <w:rPr>
                <w:rFonts w:hint="eastAsia"/>
                <w:color w:val="auto"/>
                <w:szCs w:val="21"/>
                <w:highlight w:val="none"/>
              </w:rPr>
              <w:t>参加过项目名称</w:t>
            </w:r>
          </w:p>
        </w:tc>
        <w:tc>
          <w:tcPr>
            <w:tcW w:w="2290"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color w:val="auto"/>
                <w:szCs w:val="21"/>
                <w:highlight w:val="none"/>
              </w:rPr>
            </w:pPr>
            <w:r>
              <w:rPr>
                <w:rFonts w:hint="eastAsia"/>
                <w:color w:val="auto"/>
                <w:szCs w:val="21"/>
                <w:highlight w:val="none"/>
              </w:rPr>
              <w:t>担任何职务</w:t>
            </w:r>
          </w:p>
        </w:tc>
        <w:tc>
          <w:tcPr>
            <w:tcW w:w="1850"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color w:val="auto"/>
                <w:szCs w:val="21"/>
                <w:highlight w:val="none"/>
              </w:rPr>
            </w:pPr>
            <w:r>
              <w:rPr>
                <w:rFonts w:hint="eastAsia"/>
                <w:color w:val="auto"/>
                <w:szCs w:val="21"/>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6" w:hRule="atLeast"/>
        </w:trPr>
        <w:tc>
          <w:tcPr>
            <w:tcW w:w="1228"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color w:val="auto"/>
                <w:szCs w:val="21"/>
                <w:highlight w:val="none"/>
              </w:rPr>
            </w:pPr>
          </w:p>
        </w:tc>
        <w:tc>
          <w:tcPr>
            <w:tcW w:w="3740" w:type="dxa"/>
            <w:gridSpan w:val="4"/>
            <w:tcBorders>
              <w:top w:val="single" w:color="auto" w:sz="4" w:space="0"/>
              <w:left w:val="single" w:color="auto" w:sz="4" w:space="0"/>
              <w:bottom w:val="single" w:color="auto" w:sz="4" w:space="0"/>
              <w:right w:val="single" w:color="auto" w:sz="4" w:space="0"/>
            </w:tcBorders>
            <w:vAlign w:val="center"/>
          </w:tcPr>
          <w:p>
            <w:pPr>
              <w:spacing w:line="480" w:lineRule="auto"/>
              <w:jc w:val="center"/>
              <w:rPr>
                <w:color w:val="auto"/>
                <w:szCs w:val="21"/>
                <w:highlight w:val="none"/>
              </w:rPr>
            </w:pPr>
          </w:p>
        </w:tc>
        <w:tc>
          <w:tcPr>
            <w:tcW w:w="229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85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28"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color w:val="auto"/>
                <w:szCs w:val="21"/>
                <w:highlight w:val="none"/>
              </w:rPr>
            </w:pPr>
          </w:p>
        </w:tc>
        <w:tc>
          <w:tcPr>
            <w:tcW w:w="3740" w:type="dxa"/>
            <w:gridSpan w:val="4"/>
            <w:tcBorders>
              <w:top w:val="single" w:color="auto" w:sz="4" w:space="0"/>
              <w:left w:val="single" w:color="auto" w:sz="4" w:space="0"/>
              <w:bottom w:val="single" w:color="auto" w:sz="4" w:space="0"/>
              <w:right w:val="single" w:color="auto" w:sz="4" w:space="0"/>
            </w:tcBorders>
            <w:vAlign w:val="center"/>
          </w:tcPr>
          <w:p>
            <w:pPr>
              <w:spacing w:line="480" w:lineRule="auto"/>
              <w:jc w:val="center"/>
              <w:rPr>
                <w:color w:val="auto"/>
                <w:szCs w:val="21"/>
                <w:highlight w:val="none"/>
              </w:rPr>
            </w:pPr>
          </w:p>
        </w:tc>
        <w:tc>
          <w:tcPr>
            <w:tcW w:w="229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85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28"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color w:val="auto"/>
                <w:szCs w:val="21"/>
                <w:highlight w:val="none"/>
              </w:rPr>
            </w:pPr>
          </w:p>
        </w:tc>
        <w:tc>
          <w:tcPr>
            <w:tcW w:w="3740" w:type="dxa"/>
            <w:gridSpan w:val="4"/>
            <w:tcBorders>
              <w:top w:val="single" w:color="auto" w:sz="4" w:space="0"/>
              <w:left w:val="single" w:color="auto" w:sz="4" w:space="0"/>
              <w:bottom w:val="single" w:color="auto" w:sz="4" w:space="0"/>
              <w:right w:val="single" w:color="auto" w:sz="4" w:space="0"/>
            </w:tcBorders>
            <w:vAlign w:val="center"/>
          </w:tcPr>
          <w:p>
            <w:pPr>
              <w:spacing w:line="480" w:lineRule="auto"/>
              <w:jc w:val="center"/>
              <w:rPr>
                <w:color w:val="auto"/>
                <w:szCs w:val="21"/>
                <w:highlight w:val="none"/>
              </w:rPr>
            </w:pPr>
          </w:p>
        </w:tc>
        <w:tc>
          <w:tcPr>
            <w:tcW w:w="229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85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28"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color w:val="auto"/>
                <w:szCs w:val="21"/>
                <w:highlight w:val="none"/>
              </w:rPr>
            </w:pPr>
          </w:p>
        </w:tc>
        <w:tc>
          <w:tcPr>
            <w:tcW w:w="3740" w:type="dxa"/>
            <w:gridSpan w:val="4"/>
            <w:tcBorders>
              <w:top w:val="single" w:color="auto" w:sz="4" w:space="0"/>
              <w:left w:val="single" w:color="auto" w:sz="4" w:space="0"/>
              <w:bottom w:val="single" w:color="auto" w:sz="4" w:space="0"/>
              <w:right w:val="single" w:color="auto" w:sz="4" w:space="0"/>
            </w:tcBorders>
            <w:vAlign w:val="center"/>
          </w:tcPr>
          <w:p>
            <w:pPr>
              <w:spacing w:line="480" w:lineRule="auto"/>
              <w:jc w:val="center"/>
              <w:rPr>
                <w:color w:val="auto"/>
                <w:szCs w:val="21"/>
                <w:highlight w:val="none"/>
              </w:rPr>
            </w:pPr>
          </w:p>
        </w:tc>
        <w:tc>
          <w:tcPr>
            <w:tcW w:w="229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85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28"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color w:val="auto"/>
                <w:szCs w:val="21"/>
                <w:highlight w:val="none"/>
              </w:rPr>
            </w:pPr>
          </w:p>
        </w:tc>
        <w:tc>
          <w:tcPr>
            <w:tcW w:w="3740" w:type="dxa"/>
            <w:gridSpan w:val="4"/>
            <w:tcBorders>
              <w:top w:val="single" w:color="auto" w:sz="4" w:space="0"/>
              <w:left w:val="single" w:color="auto" w:sz="4" w:space="0"/>
              <w:bottom w:val="single" w:color="auto" w:sz="4" w:space="0"/>
              <w:right w:val="single" w:color="auto" w:sz="4" w:space="0"/>
            </w:tcBorders>
            <w:vAlign w:val="center"/>
          </w:tcPr>
          <w:p>
            <w:pPr>
              <w:spacing w:line="480" w:lineRule="auto"/>
              <w:jc w:val="center"/>
              <w:rPr>
                <w:color w:val="auto"/>
                <w:szCs w:val="21"/>
                <w:highlight w:val="none"/>
              </w:rPr>
            </w:pPr>
          </w:p>
        </w:tc>
        <w:tc>
          <w:tcPr>
            <w:tcW w:w="229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85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28"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color w:val="auto"/>
                <w:szCs w:val="21"/>
                <w:highlight w:val="none"/>
              </w:rPr>
            </w:pPr>
          </w:p>
        </w:tc>
        <w:tc>
          <w:tcPr>
            <w:tcW w:w="3740" w:type="dxa"/>
            <w:gridSpan w:val="4"/>
            <w:tcBorders>
              <w:top w:val="single" w:color="auto" w:sz="4" w:space="0"/>
              <w:left w:val="single" w:color="auto" w:sz="4" w:space="0"/>
              <w:bottom w:val="single" w:color="auto" w:sz="4" w:space="0"/>
              <w:right w:val="single" w:color="auto" w:sz="4" w:space="0"/>
            </w:tcBorders>
            <w:vAlign w:val="center"/>
          </w:tcPr>
          <w:p>
            <w:pPr>
              <w:spacing w:line="480" w:lineRule="auto"/>
              <w:jc w:val="center"/>
              <w:rPr>
                <w:color w:val="auto"/>
                <w:szCs w:val="21"/>
                <w:highlight w:val="none"/>
              </w:rPr>
            </w:pPr>
          </w:p>
        </w:tc>
        <w:tc>
          <w:tcPr>
            <w:tcW w:w="229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85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r>
    </w:tbl>
    <w:p>
      <w:pPr>
        <w:spacing w:line="480" w:lineRule="auto"/>
        <w:rPr>
          <w:color w:val="auto"/>
          <w:szCs w:val="21"/>
          <w:highlight w:val="none"/>
        </w:rPr>
      </w:pPr>
    </w:p>
    <w:p>
      <w:pPr>
        <w:spacing w:line="480" w:lineRule="auto"/>
        <w:rPr>
          <w:color w:val="auto"/>
          <w:szCs w:val="21"/>
          <w:highlight w:val="none"/>
        </w:rPr>
      </w:pPr>
      <w:r>
        <w:rPr>
          <w:rFonts w:hint="eastAsia"/>
          <w:color w:val="auto"/>
          <w:szCs w:val="21"/>
          <w:highlight w:val="none"/>
        </w:rPr>
        <w:t>注：本表中人员如职称证书、岗位证书等资料复印件附后。</w:t>
      </w:r>
    </w:p>
    <w:p>
      <w:pPr>
        <w:rPr>
          <w:color w:val="auto"/>
          <w:highlight w:val="none"/>
        </w:rPr>
      </w:pPr>
    </w:p>
    <w:p>
      <w:pPr>
        <w:rPr>
          <w:color w:val="auto"/>
          <w:highlight w:val="none"/>
        </w:rPr>
      </w:pPr>
    </w:p>
    <w:p>
      <w:pPr>
        <w:rPr>
          <w:color w:val="auto"/>
          <w:highlight w:val="none"/>
        </w:rPr>
      </w:pPr>
    </w:p>
    <w:p>
      <w:pPr>
        <w:rPr>
          <w:color w:val="auto"/>
          <w:highlight w:val="none"/>
        </w:rPr>
      </w:pPr>
    </w:p>
    <w:p>
      <w:pPr>
        <w:rPr>
          <w:color w:val="auto"/>
          <w:highlight w:val="none"/>
        </w:rPr>
      </w:pPr>
    </w:p>
    <w:p>
      <w:pPr>
        <w:pStyle w:val="2"/>
        <w:ind w:firstLine="340"/>
        <w:rPr>
          <w:color w:val="auto"/>
          <w:highlight w:val="none"/>
        </w:rPr>
      </w:pPr>
    </w:p>
    <w:p>
      <w:pPr>
        <w:rPr>
          <w:color w:val="auto"/>
          <w:highlight w:val="none"/>
        </w:rPr>
      </w:pPr>
    </w:p>
    <w:p>
      <w:pPr>
        <w:pStyle w:val="2"/>
        <w:ind w:firstLine="340"/>
        <w:rPr>
          <w:color w:val="auto"/>
          <w:highlight w:val="none"/>
        </w:rPr>
      </w:pPr>
    </w:p>
    <w:p>
      <w:pPr>
        <w:rPr>
          <w:color w:val="auto"/>
          <w:highlight w:val="none"/>
        </w:rPr>
      </w:pPr>
    </w:p>
    <w:p>
      <w:pPr>
        <w:pStyle w:val="2"/>
        <w:ind w:firstLine="340"/>
        <w:rPr>
          <w:color w:val="auto"/>
          <w:highlight w:val="none"/>
        </w:rPr>
      </w:pPr>
    </w:p>
    <w:p>
      <w:pPr>
        <w:rPr>
          <w:color w:val="auto"/>
          <w:highlight w:val="none"/>
        </w:rPr>
      </w:pPr>
    </w:p>
    <w:p>
      <w:pPr>
        <w:pStyle w:val="2"/>
        <w:ind w:firstLine="340"/>
        <w:rPr>
          <w:color w:val="auto"/>
          <w:highlight w:val="none"/>
        </w:rPr>
      </w:pPr>
    </w:p>
    <w:p>
      <w:pPr>
        <w:rPr>
          <w:color w:val="auto"/>
          <w:highlight w:val="none"/>
        </w:rPr>
      </w:pPr>
    </w:p>
    <w:p>
      <w:pPr>
        <w:pStyle w:val="2"/>
        <w:ind w:firstLine="340"/>
        <w:rPr>
          <w:color w:val="auto"/>
          <w:highlight w:val="none"/>
        </w:rPr>
      </w:pPr>
    </w:p>
    <w:p>
      <w:pPr>
        <w:rPr>
          <w:color w:val="auto"/>
          <w:highlight w:val="none"/>
        </w:rPr>
      </w:pPr>
    </w:p>
    <w:p>
      <w:pPr>
        <w:rPr>
          <w:color w:val="auto"/>
          <w:highlight w:val="none"/>
        </w:rPr>
      </w:pPr>
    </w:p>
    <w:p>
      <w:pPr>
        <w:rPr>
          <w:color w:val="auto"/>
          <w:highlight w:val="none"/>
        </w:rPr>
      </w:pPr>
    </w:p>
    <w:p>
      <w:pPr>
        <w:pStyle w:val="2"/>
        <w:ind w:firstLine="340"/>
        <w:rPr>
          <w:color w:val="auto"/>
          <w:highlight w:val="none"/>
        </w:rPr>
      </w:pPr>
    </w:p>
    <w:p>
      <w:pPr>
        <w:spacing w:line="400" w:lineRule="exact"/>
        <w:ind w:firstLine="210"/>
        <w:jc w:val="center"/>
        <w:rPr>
          <w:rFonts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t>项目名称：</w:t>
      </w:r>
      <w:r>
        <w:rPr>
          <w:rFonts w:hint="eastAsia" w:asciiTheme="minorEastAsia" w:hAnsiTheme="minorEastAsia" w:eastAsiaTheme="minorEastAsia" w:cstheme="minorEastAsia"/>
          <w:color w:val="auto"/>
          <w:sz w:val="32"/>
          <w:szCs w:val="32"/>
          <w:highlight w:val="none"/>
          <w:u w:val="single"/>
        </w:rPr>
        <w:t xml:space="preserve">                          </w:t>
      </w:r>
      <w:r>
        <w:rPr>
          <w:rFonts w:hint="eastAsia" w:asciiTheme="minorEastAsia" w:hAnsiTheme="minorEastAsia" w:eastAsiaTheme="minorEastAsia" w:cstheme="minorEastAsia"/>
          <w:color w:val="auto"/>
          <w:sz w:val="32"/>
          <w:szCs w:val="32"/>
          <w:highlight w:val="none"/>
        </w:rPr>
        <w:t>项目</w:t>
      </w:r>
    </w:p>
    <w:p>
      <w:pPr>
        <w:spacing w:line="400" w:lineRule="exact"/>
        <w:ind w:firstLine="210"/>
        <w:jc w:val="center"/>
        <w:rPr>
          <w:rFonts w:asciiTheme="minorEastAsia" w:hAnsiTheme="minorEastAsia" w:eastAsiaTheme="minorEastAsia" w:cstheme="minorEastAsia"/>
          <w:color w:val="auto"/>
          <w:sz w:val="32"/>
          <w:szCs w:val="32"/>
          <w:highlight w:val="none"/>
        </w:rPr>
      </w:pPr>
    </w:p>
    <w:p>
      <w:pPr>
        <w:spacing w:line="400" w:lineRule="exact"/>
        <w:ind w:firstLine="210"/>
        <w:jc w:val="center"/>
        <w:rPr>
          <w:rFonts w:asciiTheme="minorEastAsia" w:hAnsiTheme="minorEastAsia" w:eastAsiaTheme="minorEastAsia" w:cstheme="minorEastAsia"/>
          <w:color w:val="auto"/>
          <w:sz w:val="32"/>
          <w:szCs w:val="32"/>
          <w:highlight w:val="none"/>
        </w:rPr>
      </w:pPr>
    </w:p>
    <w:p>
      <w:pPr>
        <w:spacing w:line="400" w:lineRule="exact"/>
        <w:ind w:firstLine="210"/>
        <w:jc w:val="center"/>
        <w:rPr>
          <w:rFonts w:asciiTheme="minorEastAsia" w:hAnsiTheme="minorEastAsia" w:eastAsiaTheme="minorEastAsia" w:cstheme="minorEastAsia"/>
          <w:color w:val="auto"/>
          <w:sz w:val="32"/>
          <w:szCs w:val="32"/>
          <w:highlight w:val="none"/>
        </w:rPr>
      </w:pPr>
    </w:p>
    <w:p>
      <w:pPr>
        <w:spacing w:line="400" w:lineRule="exact"/>
        <w:ind w:firstLine="210"/>
        <w:jc w:val="center"/>
        <w:rPr>
          <w:rFonts w:asciiTheme="minorEastAsia" w:hAnsiTheme="minorEastAsia" w:eastAsiaTheme="minorEastAsia" w:cstheme="minorEastAsia"/>
          <w:color w:val="auto"/>
          <w:sz w:val="32"/>
          <w:szCs w:val="32"/>
          <w:highlight w:val="none"/>
        </w:rPr>
      </w:pPr>
    </w:p>
    <w:p>
      <w:pPr>
        <w:spacing w:line="400" w:lineRule="exact"/>
        <w:ind w:firstLine="210"/>
        <w:jc w:val="center"/>
        <w:rPr>
          <w:rFonts w:asciiTheme="minorEastAsia" w:hAnsiTheme="minorEastAsia" w:eastAsiaTheme="minorEastAsia" w:cstheme="minorEastAsia"/>
          <w:color w:val="auto"/>
          <w:sz w:val="32"/>
          <w:szCs w:val="32"/>
          <w:highlight w:val="none"/>
        </w:rPr>
      </w:pPr>
    </w:p>
    <w:p>
      <w:pPr>
        <w:spacing w:line="400" w:lineRule="exact"/>
        <w:ind w:firstLine="210"/>
        <w:jc w:val="center"/>
        <w:rPr>
          <w:rFonts w:asciiTheme="minorEastAsia" w:hAnsiTheme="minorEastAsia" w:eastAsiaTheme="minorEastAsia" w:cstheme="minorEastAsia"/>
          <w:color w:val="auto"/>
          <w:sz w:val="32"/>
          <w:szCs w:val="32"/>
          <w:highlight w:val="none"/>
        </w:rPr>
      </w:pPr>
    </w:p>
    <w:p>
      <w:pPr>
        <w:spacing w:line="400" w:lineRule="exact"/>
        <w:ind w:firstLine="210"/>
        <w:jc w:val="center"/>
        <w:rPr>
          <w:rFonts w:asciiTheme="minorEastAsia" w:hAnsiTheme="minorEastAsia" w:eastAsiaTheme="minorEastAsia" w:cstheme="minorEastAsia"/>
          <w:color w:val="auto"/>
          <w:sz w:val="32"/>
          <w:szCs w:val="32"/>
          <w:highlight w:val="none"/>
        </w:rPr>
      </w:pPr>
    </w:p>
    <w:p>
      <w:pPr>
        <w:spacing w:line="400" w:lineRule="exact"/>
        <w:ind w:firstLine="210"/>
        <w:jc w:val="center"/>
        <w:rPr>
          <w:rFonts w:asciiTheme="minorEastAsia" w:hAnsiTheme="minorEastAsia" w:eastAsiaTheme="minorEastAsia" w:cstheme="minorEastAsia"/>
          <w:color w:val="auto"/>
          <w:sz w:val="32"/>
          <w:szCs w:val="32"/>
          <w:highlight w:val="none"/>
        </w:rPr>
      </w:pPr>
    </w:p>
    <w:p>
      <w:pPr>
        <w:spacing w:line="480" w:lineRule="auto"/>
        <w:ind w:firstLine="210"/>
        <w:jc w:val="center"/>
        <w:rPr>
          <w:rFonts w:asciiTheme="minorEastAsia" w:hAnsiTheme="minorEastAsia" w:eastAsiaTheme="minorEastAsia" w:cstheme="minorEastAsia"/>
          <w:color w:val="auto"/>
          <w:sz w:val="44"/>
          <w:szCs w:val="44"/>
          <w:highlight w:val="none"/>
        </w:rPr>
      </w:pPr>
      <w:r>
        <w:rPr>
          <w:rFonts w:hint="eastAsia" w:asciiTheme="minorEastAsia" w:hAnsiTheme="minorEastAsia" w:eastAsiaTheme="minorEastAsia" w:cstheme="minorEastAsia"/>
          <w:color w:val="auto"/>
          <w:sz w:val="44"/>
          <w:szCs w:val="44"/>
          <w:highlight w:val="none"/>
        </w:rPr>
        <w:t>投标文件</w:t>
      </w:r>
    </w:p>
    <w:p>
      <w:pPr>
        <w:spacing w:line="480" w:lineRule="auto"/>
        <w:ind w:firstLine="210"/>
        <w:jc w:val="center"/>
        <w:rPr>
          <w:rFonts w:asciiTheme="minorEastAsia" w:hAnsiTheme="minorEastAsia" w:eastAsiaTheme="minorEastAsia" w:cstheme="minorEastAsia"/>
          <w:color w:val="auto"/>
          <w:sz w:val="44"/>
          <w:szCs w:val="44"/>
          <w:highlight w:val="none"/>
        </w:rPr>
      </w:pPr>
    </w:p>
    <w:p>
      <w:pPr>
        <w:spacing w:line="480" w:lineRule="auto"/>
        <w:ind w:firstLine="210"/>
        <w:jc w:val="center"/>
        <w:rPr>
          <w:rFonts w:asciiTheme="minorEastAsia" w:hAnsiTheme="minorEastAsia" w:eastAsiaTheme="minorEastAsia" w:cstheme="minorEastAsia"/>
          <w:color w:val="auto"/>
          <w:sz w:val="44"/>
          <w:szCs w:val="44"/>
          <w:highlight w:val="none"/>
        </w:rPr>
      </w:pPr>
    </w:p>
    <w:p>
      <w:pPr>
        <w:spacing w:line="480" w:lineRule="auto"/>
        <w:ind w:firstLine="210"/>
        <w:jc w:val="center"/>
        <w:rPr>
          <w:rFonts w:asciiTheme="minorEastAsia" w:hAnsiTheme="minorEastAsia" w:eastAsiaTheme="minorEastAsia" w:cstheme="minorEastAsia"/>
          <w:color w:val="auto"/>
          <w:sz w:val="44"/>
          <w:szCs w:val="44"/>
          <w:highlight w:val="none"/>
        </w:rPr>
      </w:pPr>
    </w:p>
    <w:p>
      <w:pPr>
        <w:spacing w:line="480" w:lineRule="auto"/>
        <w:ind w:firstLine="210"/>
        <w:jc w:val="center"/>
        <w:rPr>
          <w:rFonts w:asciiTheme="minorEastAsia" w:hAnsiTheme="minorEastAsia" w:eastAsiaTheme="minorEastAsia" w:cstheme="minorEastAsia"/>
          <w:color w:val="auto"/>
          <w:sz w:val="44"/>
          <w:szCs w:val="44"/>
          <w:highlight w:val="none"/>
        </w:rPr>
      </w:pPr>
    </w:p>
    <w:p>
      <w:pPr>
        <w:spacing w:line="360" w:lineRule="auto"/>
        <w:ind w:firstLine="210"/>
        <w:rPr>
          <w:rFonts w:asciiTheme="minorEastAsia" w:hAnsiTheme="minorEastAsia" w:eastAsiaTheme="minorEastAsia" w:cstheme="minorEastAsia"/>
          <w:color w:val="auto"/>
          <w:sz w:val="28"/>
          <w:szCs w:val="28"/>
          <w:highlight w:val="none"/>
          <w:u w:val="single"/>
        </w:rPr>
      </w:pPr>
      <w:r>
        <w:rPr>
          <w:rFonts w:hint="eastAsia" w:asciiTheme="minorEastAsia" w:hAnsiTheme="minorEastAsia" w:eastAsiaTheme="minorEastAsia" w:cstheme="minorEastAsia"/>
          <w:color w:val="auto"/>
          <w:sz w:val="28"/>
          <w:szCs w:val="28"/>
          <w:highlight w:val="none"/>
        </w:rPr>
        <w:t xml:space="preserve">投标文件内容: </w:t>
      </w:r>
      <w:r>
        <w:rPr>
          <w:rFonts w:hint="eastAsia" w:asciiTheme="minorEastAsia" w:hAnsiTheme="minorEastAsia" w:eastAsiaTheme="minorEastAsia" w:cstheme="minorEastAsia"/>
          <w:color w:val="auto"/>
          <w:sz w:val="28"/>
          <w:szCs w:val="28"/>
          <w:highlight w:val="none"/>
          <w:u w:val="single"/>
        </w:rPr>
        <w:t xml:space="preserve">    商务标</w:t>
      </w:r>
    </w:p>
    <w:p>
      <w:pPr>
        <w:spacing w:line="360" w:lineRule="auto"/>
        <w:ind w:firstLine="210"/>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投标人：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（盖章）</w:t>
      </w:r>
    </w:p>
    <w:p>
      <w:pPr>
        <w:spacing w:line="360" w:lineRule="auto"/>
        <w:ind w:firstLine="210"/>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法定代表人：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（签字或盖章）</w:t>
      </w:r>
    </w:p>
    <w:p>
      <w:pPr>
        <w:spacing w:line="360" w:lineRule="auto"/>
        <w:ind w:firstLine="210"/>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日期：</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年</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月</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日</w:t>
      </w:r>
    </w:p>
    <w:p>
      <w:pPr>
        <w:pStyle w:val="2"/>
        <w:ind w:firstLine="280"/>
        <w:rPr>
          <w:rFonts w:asciiTheme="minorEastAsia" w:hAnsiTheme="minorEastAsia" w:eastAsiaTheme="minorEastAsia" w:cstheme="minorEastAsia"/>
          <w:color w:val="auto"/>
          <w:sz w:val="28"/>
          <w:szCs w:val="28"/>
          <w:highlight w:val="none"/>
        </w:rPr>
      </w:pPr>
    </w:p>
    <w:p>
      <w:pPr>
        <w:ind w:firstLine="280"/>
        <w:rPr>
          <w:rFonts w:asciiTheme="minorEastAsia" w:hAnsiTheme="minorEastAsia" w:eastAsiaTheme="minorEastAsia" w:cstheme="minorEastAsia"/>
          <w:color w:val="auto"/>
          <w:sz w:val="28"/>
          <w:szCs w:val="28"/>
          <w:highlight w:val="none"/>
        </w:rPr>
      </w:pPr>
    </w:p>
    <w:p>
      <w:pPr>
        <w:pStyle w:val="2"/>
        <w:ind w:firstLine="280"/>
        <w:rPr>
          <w:rFonts w:asciiTheme="minorEastAsia" w:hAnsiTheme="minorEastAsia" w:eastAsiaTheme="minorEastAsia" w:cstheme="minorEastAsia"/>
          <w:color w:val="auto"/>
          <w:sz w:val="28"/>
          <w:szCs w:val="28"/>
          <w:highlight w:val="none"/>
        </w:rPr>
      </w:pPr>
    </w:p>
    <w:p>
      <w:pPr>
        <w:ind w:firstLine="280"/>
        <w:rPr>
          <w:rFonts w:asciiTheme="minorEastAsia" w:hAnsiTheme="minorEastAsia" w:eastAsiaTheme="minorEastAsia" w:cstheme="minorEastAsia"/>
          <w:color w:val="auto"/>
          <w:sz w:val="28"/>
          <w:szCs w:val="28"/>
          <w:highlight w:val="none"/>
        </w:rPr>
      </w:pPr>
    </w:p>
    <w:p>
      <w:pPr>
        <w:pStyle w:val="2"/>
        <w:ind w:firstLine="280"/>
        <w:rPr>
          <w:rFonts w:asciiTheme="minorEastAsia" w:hAnsiTheme="minorEastAsia" w:eastAsiaTheme="minorEastAsia" w:cstheme="minorEastAsia"/>
          <w:color w:val="auto"/>
          <w:sz w:val="28"/>
          <w:szCs w:val="28"/>
          <w:highlight w:val="none"/>
        </w:rPr>
      </w:pPr>
    </w:p>
    <w:p>
      <w:pPr>
        <w:ind w:firstLine="280"/>
        <w:rPr>
          <w:color w:val="auto"/>
          <w:highlight w:val="none"/>
        </w:rPr>
      </w:pPr>
    </w:p>
    <w:p>
      <w:pPr>
        <w:ind w:firstLine="280"/>
        <w:rPr>
          <w:rFonts w:asciiTheme="minorEastAsia" w:hAnsiTheme="minorEastAsia" w:eastAsiaTheme="minorEastAsia" w:cstheme="minorEastAsia"/>
          <w:color w:val="auto"/>
          <w:sz w:val="28"/>
          <w:szCs w:val="28"/>
          <w:highlight w:val="none"/>
        </w:rPr>
      </w:pPr>
    </w:p>
    <w:p>
      <w:pPr>
        <w:pStyle w:val="11"/>
        <w:spacing w:line="360" w:lineRule="auto"/>
        <w:ind w:firstLine="410" w:firstLineChars="171"/>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（1）投标函(格式一)</w:t>
      </w:r>
    </w:p>
    <w:p>
      <w:pPr>
        <w:pStyle w:val="11"/>
        <w:spacing w:line="360" w:lineRule="auto"/>
        <w:ind w:firstLine="410" w:firstLineChars="171"/>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（2）法定代表人授权书及法定代表人身份证明(格式二、格式三)</w:t>
      </w:r>
    </w:p>
    <w:p>
      <w:pPr>
        <w:pStyle w:val="11"/>
        <w:spacing w:line="360" w:lineRule="auto"/>
        <w:ind w:firstLine="410" w:firstLineChars="171"/>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（3）投标报价表（格式五）</w:t>
      </w:r>
    </w:p>
    <w:p>
      <w:pPr>
        <w:pStyle w:val="11"/>
        <w:spacing w:line="360" w:lineRule="auto"/>
        <w:ind w:firstLine="410" w:firstLineChars="171"/>
        <w:rPr>
          <w:rFonts w:asciiTheme="minorEastAsia" w:hAnsiTheme="minorEastAsia" w:eastAsiaTheme="minorEastAsia" w:cstheme="minorEastAsia"/>
          <w:strike/>
          <w:color w:val="auto"/>
          <w:sz w:val="24"/>
          <w:szCs w:val="24"/>
          <w:highlight w:val="none"/>
        </w:rPr>
      </w:pPr>
      <w:r>
        <w:rPr>
          <w:rFonts w:hint="eastAsia" w:asciiTheme="minorEastAsia" w:hAnsiTheme="minorEastAsia" w:eastAsiaTheme="minorEastAsia" w:cstheme="minorEastAsia"/>
          <w:strike/>
          <w:color w:val="auto"/>
          <w:sz w:val="24"/>
          <w:szCs w:val="24"/>
          <w:highlight w:val="none"/>
        </w:rPr>
        <w:t>（4）商务条款偏离表（格式自拟）</w:t>
      </w:r>
    </w:p>
    <w:p>
      <w:pPr>
        <w:pStyle w:val="11"/>
        <w:spacing w:line="360" w:lineRule="auto"/>
        <w:ind w:firstLine="410" w:firstLineChars="171"/>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☑（5）随机备品备件一览表（格式自拟）</w:t>
      </w:r>
    </w:p>
    <w:p>
      <w:pPr>
        <w:pStyle w:val="11"/>
        <w:spacing w:line="360" w:lineRule="auto"/>
        <w:ind w:firstLine="410" w:firstLineChars="171"/>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☑（6）供招标人选购的备品备件一览表（格式自拟）</w:t>
      </w:r>
    </w:p>
    <w:p>
      <w:pPr>
        <w:pStyle w:val="11"/>
        <w:spacing w:line="360" w:lineRule="auto"/>
        <w:ind w:firstLine="410" w:firstLineChars="171"/>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w:t>
      </w:r>
      <w:r>
        <w:rPr>
          <w:rStyle w:val="46"/>
          <w:rFonts w:hint="eastAsia" w:asciiTheme="minorEastAsia" w:hAnsiTheme="minorEastAsia" w:eastAsiaTheme="minorEastAsia" w:cstheme="minorEastAsia"/>
          <w:color w:val="auto"/>
          <w:sz w:val="24"/>
          <w:szCs w:val="24"/>
          <w:highlight w:val="none"/>
        </w:rPr>
        <w:t>（7）</w:t>
      </w:r>
      <w:r>
        <w:rPr>
          <w:rFonts w:hint="eastAsia" w:asciiTheme="minorEastAsia" w:hAnsiTheme="minorEastAsia" w:eastAsiaTheme="minorEastAsia" w:cstheme="minorEastAsia"/>
          <w:color w:val="auto"/>
          <w:sz w:val="24"/>
          <w:szCs w:val="24"/>
          <w:highlight w:val="none"/>
        </w:rPr>
        <w:t>专用检测设备及专用维修工具一览表（格式自拟）</w:t>
      </w:r>
    </w:p>
    <w:p>
      <w:pPr>
        <w:pStyle w:val="2"/>
        <w:ind w:firstLine="0" w:firstLineChars="0"/>
        <w:rPr>
          <w:color w:val="auto"/>
          <w:highlight w:val="none"/>
        </w:rPr>
      </w:pPr>
    </w:p>
    <w:p>
      <w:pPr>
        <w:pStyle w:val="2"/>
        <w:ind w:firstLine="280"/>
        <w:rPr>
          <w:rFonts w:asciiTheme="minorEastAsia" w:hAnsiTheme="minorEastAsia" w:eastAsiaTheme="minorEastAsia" w:cstheme="minorEastAsia"/>
          <w:color w:val="auto"/>
          <w:sz w:val="28"/>
          <w:szCs w:val="28"/>
          <w:highlight w:val="none"/>
        </w:rPr>
      </w:pPr>
    </w:p>
    <w:p>
      <w:pPr>
        <w:pStyle w:val="2"/>
        <w:ind w:firstLine="280"/>
        <w:rPr>
          <w:rFonts w:asciiTheme="minorEastAsia" w:hAnsiTheme="minorEastAsia" w:eastAsiaTheme="minorEastAsia" w:cstheme="minorEastAsia"/>
          <w:color w:val="auto"/>
          <w:sz w:val="28"/>
          <w:szCs w:val="28"/>
          <w:highlight w:val="none"/>
        </w:rPr>
      </w:pPr>
    </w:p>
    <w:p>
      <w:pPr>
        <w:pStyle w:val="2"/>
        <w:ind w:firstLine="280"/>
        <w:rPr>
          <w:rFonts w:asciiTheme="minorEastAsia" w:hAnsiTheme="minorEastAsia" w:eastAsiaTheme="minorEastAsia" w:cstheme="minorEastAsia"/>
          <w:color w:val="auto"/>
          <w:sz w:val="28"/>
          <w:szCs w:val="28"/>
          <w:highlight w:val="none"/>
        </w:rPr>
      </w:pPr>
    </w:p>
    <w:p>
      <w:pPr>
        <w:spacing w:line="360" w:lineRule="auto"/>
        <w:ind w:firstLine="210"/>
        <w:rPr>
          <w:rFonts w:asciiTheme="minorEastAsia" w:hAnsiTheme="minorEastAsia" w:eastAsiaTheme="minorEastAsia" w:cstheme="minorEastAsia"/>
          <w:color w:val="auto"/>
          <w:sz w:val="24"/>
          <w:szCs w:val="24"/>
          <w:highlight w:val="none"/>
        </w:rPr>
      </w:pPr>
    </w:p>
    <w:p>
      <w:pPr>
        <w:spacing w:line="360" w:lineRule="auto"/>
        <w:ind w:firstLine="210"/>
        <w:rPr>
          <w:rFonts w:asciiTheme="minorEastAsia" w:hAnsiTheme="minorEastAsia" w:eastAsiaTheme="minorEastAsia" w:cstheme="minorEastAsia"/>
          <w:color w:val="auto"/>
          <w:sz w:val="24"/>
          <w:szCs w:val="24"/>
          <w:highlight w:val="none"/>
        </w:rPr>
      </w:pPr>
    </w:p>
    <w:p>
      <w:pPr>
        <w:pStyle w:val="2"/>
        <w:ind w:firstLine="240"/>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pStyle w:val="2"/>
        <w:ind w:firstLine="240"/>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pStyle w:val="2"/>
        <w:ind w:firstLine="240"/>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pStyle w:val="2"/>
        <w:ind w:firstLine="240"/>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pStyle w:val="2"/>
        <w:ind w:firstLine="240"/>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pStyle w:val="2"/>
        <w:ind w:firstLine="240"/>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pStyle w:val="2"/>
        <w:ind w:firstLine="240"/>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pStyle w:val="2"/>
        <w:ind w:firstLine="240"/>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pStyle w:val="2"/>
        <w:ind w:firstLine="240"/>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pStyle w:val="2"/>
        <w:ind w:firstLine="240"/>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pStyle w:val="2"/>
        <w:ind w:firstLine="240"/>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pStyle w:val="2"/>
        <w:ind w:firstLine="240"/>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pStyle w:val="3"/>
        <w:rPr>
          <w:color w:val="auto"/>
          <w:highlight w:val="none"/>
        </w:rPr>
      </w:pPr>
    </w:p>
    <w:p>
      <w:pPr>
        <w:rPr>
          <w:rFonts w:asciiTheme="minorEastAsia" w:hAnsiTheme="minorEastAsia" w:eastAsiaTheme="minorEastAsia" w:cstheme="minorEastAsia"/>
          <w:color w:val="auto"/>
          <w:sz w:val="24"/>
          <w:szCs w:val="24"/>
          <w:highlight w:val="none"/>
        </w:rPr>
      </w:pPr>
    </w:p>
    <w:p>
      <w:pPr>
        <w:spacing w:line="360" w:lineRule="auto"/>
        <w:ind w:firstLine="210"/>
        <w:rPr>
          <w:rFonts w:asciiTheme="minorEastAsia" w:hAnsiTheme="minorEastAsia" w:eastAsiaTheme="minorEastAsia" w:cstheme="minorEastAsia"/>
          <w:color w:val="auto"/>
          <w:kern w:val="44"/>
          <w:sz w:val="24"/>
          <w:szCs w:val="24"/>
          <w:highlight w:val="none"/>
        </w:rPr>
      </w:pPr>
      <w:r>
        <w:rPr>
          <w:rFonts w:hint="eastAsia" w:asciiTheme="minorEastAsia" w:hAnsiTheme="minorEastAsia" w:eastAsiaTheme="minorEastAsia" w:cstheme="minorEastAsia"/>
          <w:color w:val="auto"/>
          <w:kern w:val="44"/>
          <w:sz w:val="24"/>
          <w:szCs w:val="24"/>
          <w:highlight w:val="none"/>
        </w:rPr>
        <w:t>格式一</w:t>
      </w:r>
    </w:p>
    <w:p>
      <w:pPr>
        <w:spacing w:line="420" w:lineRule="exact"/>
        <w:ind w:firstLine="321"/>
        <w:jc w:val="center"/>
        <w:rPr>
          <w:rFonts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u w:val="single"/>
        </w:rPr>
        <w:t xml:space="preserve">            </w:t>
      </w:r>
      <w:r>
        <w:rPr>
          <w:rFonts w:hint="eastAsia" w:asciiTheme="minorEastAsia" w:hAnsiTheme="minorEastAsia" w:eastAsiaTheme="minorEastAsia" w:cstheme="minorEastAsia"/>
          <w:b/>
          <w:bCs/>
          <w:color w:val="auto"/>
          <w:sz w:val="24"/>
          <w:szCs w:val="24"/>
          <w:highlight w:val="none"/>
        </w:rPr>
        <w:t>项目</w:t>
      </w:r>
    </w:p>
    <w:p>
      <w:pPr>
        <w:spacing w:line="420" w:lineRule="exact"/>
        <w:ind w:firstLine="321"/>
        <w:jc w:val="center"/>
        <w:rPr>
          <w:rFonts w:asciiTheme="minorEastAsia" w:hAnsiTheme="minorEastAsia" w:eastAsiaTheme="minorEastAsia" w:cstheme="minorEastAsia"/>
          <w:b/>
          <w:bCs/>
          <w:color w:val="auto"/>
          <w:sz w:val="24"/>
          <w:szCs w:val="24"/>
          <w:highlight w:val="none"/>
        </w:rPr>
      </w:pPr>
      <w:bookmarkStart w:id="446" w:name="_Toc320271436"/>
      <w:bookmarkStart w:id="447" w:name="_Toc372212493"/>
      <w:bookmarkStart w:id="448" w:name="_Toc413527443"/>
    </w:p>
    <w:p>
      <w:pPr>
        <w:spacing w:line="420" w:lineRule="exact"/>
        <w:ind w:firstLine="321"/>
        <w:jc w:val="center"/>
        <w:rPr>
          <w:rFonts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投 标 </w:t>
      </w:r>
      <w:bookmarkEnd w:id="446"/>
      <w:bookmarkEnd w:id="447"/>
      <w:r>
        <w:rPr>
          <w:rFonts w:hint="eastAsia" w:asciiTheme="minorEastAsia" w:hAnsiTheme="minorEastAsia" w:eastAsiaTheme="minorEastAsia" w:cstheme="minorEastAsia"/>
          <w:b/>
          <w:bCs/>
          <w:color w:val="auto"/>
          <w:sz w:val="24"/>
          <w:szCs w:val="24"/>
          <w:highlight w:val="none"/>
        </w:rPr>
        <w:t>函</w:t>
      </w:r>
      <w:bookmarkEnd w:id="448"/>
    </w:p>
    <w:p>
      <w:pPr>
        <w:spacing w:line="360" w:lineRule="auto"/>
        <w:ind w:firstLine="211"/>
        <w:rPr>
          <w:rFonts w:asciiTheme="minorEastAsia" w:hAnsiTheme="minorEastAsia" w:eastAsiaTheme="minorEastAsia" w:cstheme="minorEastAsia"/>
          <w:b/>
          <w:bCs/>
          <w:color w:val="auto"/>
          <w:sz w:val="24"/>
          <w:szCs w:val="24"/>
          <w:highlight w:val="none"/>
        </w:rPr>
      </w:pPr>
    </w:p>
    <w:p>
      <w:pPr>
        <w:spacing w:line="360" w:lineRule="auto"/>
        <w:ind w:firstLine="211"/>
        <w:rPr>
          <w:rFonts w:asciiTheme="minorEastAsia" w:hAnsiTheme="minorEastAsia" w:eastAsiaTheme="minorEastAsia" w:cstheme="minorEastAsia"/>
          <w:b/>
          <w:color w:val="auto"/>
          <w:sz w:val="24"/>
          <w:szCs w:val="24"/>
          <w:highlight w:val="none"/>
          <w:u w:val="single"/>
        </w:rPr>
      </w:pPr>
      <w:r>
        <w:rPr>
          <w:rFonts w:hint="eastAsia" w:asciiTheme="minorEastAsia" w:hAnsiTheme="minorEastAsia" w:eastAsiaTheme="minorEastAsia" w:cstheme="minorEastAsia"/>
          <w:b/>
          <w:color w:val="auto"/>
          <w:sz w:val="24"/>
          <w:szCs w:val="24"/>
          <w:highlight w:val="none"/>
          <w:u w:val="single"/>
        </w:rPr>
        <w:t xml:space="preserve">                    （招标人）：</w:t>
      </w:r>
    </w:p>
    <w:p>
      <w:pPr>
        <w:spacing w:line="360" w:lineRule="auto"/>
        <w:ind w:firstLine="21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我方已全面阅读和研究了</w:t>
      </w:r>
      <w:r>
        <w:rPr>
          <w:rFonts w:hint="eastAsia" w:asciiTheme="minorEastAsia" w:hAnsiTheme="minorEastAsia" w:eastAsiaTheme="minorEastAsia" w:cstheme="minorEastAsia"/>
          <w:b/>
          <w:bCs/>
          <w:color w:val="auto"/>
          <w:sz w:val="24"/>
          <w:szCs w:val="24"/>
          <w:highlight w:val="none"/>
          <w:u w:val="single"/>
        </w:rPr>
        <w:t xml:space="preserve">        </w:t>
      </w:r>
      <w:r>
        <w:rPr>
          <w:rFonts w:asciiTheme="minorEastAsia" w:hAnsiTheme="minorEastAsia" w:eastAsiaTheme="minorEastAsia" w:cstheme="minorEastAsia"/>
          <w:b/>
          <w:bCs/>
          <w:color w:val="auto"/>
          <w:sz w:val="24"/>
          <w:szCs w:val="24"/>
          <w:highlight w:val="none"/>
          <w:u w:val="single"/>
        </w:rPr>
        <w:t xml:space="preserve"> </w:t>
      </w:r>
      <w:r>
        <w:rPr>
          <w:rFonts w:hint="eastAsia" w:asciiTheme="minorEastAsia" w:hAnsiTheme="minorEastAsia" w:eastAsiaTheme="minorEastAsia" w:cstheme="minorEastAsia"/>
          <w:b/>
          <w:bCs/>
          <w:color w:val="auto"/>
          <w:sz w:val="24"/>
          <w:szCs w:val="24"/>
          <w:highlight w:val="none"/>
        </w:rPr>
        <w:t>项目</w:t>
      </w:r>
      <w:r>
        <w:rPr>
          <w:rFonts w:hint="eastAsia" w:asciiTheme="minorEastAsia" w:hAnsiTheme="minorEastAsia" w:eastAsiaTheme="minorEastAsia" w:cstheme="minorEastAsia"/>
          <w:color w:val="auto"/>
          <w:sz w:val="24"/>
          <w:szCs w:val="24"/>
          <w:highlight w:val="none"/>
        </w:rPr>
        <w:t>招标文件和招标补充文件，并经过对施工现场的踏勘，澄清疑问，已充分理解并掌握了本项目招标的全部有关情况。同意接受招标文件的全部内容和条件，并按此确定本项目投标的要约内容，以本投标函向你方发包的</w:t>
      </w:r>
      <w:r>
        <w:rPr>
          <w:rFonts w:hint="eastAsia" w:asciiTheme="minorEastAsia" w:hAnsiTheme="minorEastAsia" w:eastAsiaTheme="minorEastAsia" w:cstheme="minorEastAsia"/>
          <w:b/>
          <w:bCs/>
          <w:color w:val="auto"/>
          <w:sz w:val="24"/>
          <w:szCs w:val="24"/>
          <w:highlight w:val="none"/>
          <w:u w:val="single"/>
        </w:rPr>
        <w:t xml:space="preserve">      </w:t>
      </w:r>
      <w:r>
        <w:rPr>
          <w:rFonts w:hint="eastAsia" w:asciiTheme="minorEastAsia" w:hAnsiTheme="minorEastAsia" w:eastAsiaTheme="minorEastAsia" w:cstheme="minorEastAsia"/>
          <w:b/>
          <w:bCs/>
          <w:color w:val="auto"/>
          <w:sz w:val="24"/>
          <w:szCs w:val="24"/>
          <w:highlight w:val="none"/>
        </w:rPr>
        <w:t>项目</w:t>
      </w:r>
      <w:r>
        <w:rPr>
          <w:rFonts w:hint="eastAsia" w:asciiTheme="minorEastAsia" w:hAnsiTheme="minorEastAsia" w:eastAsiaTheme="minorEastAsia" w:cstheme="minorEastAsia"/>
          <w:color w:val="auto"/>
          <w:sz w:val="24"/>
          <w:szCs w:val="24"/>
          <w:highlight w:val="none"/>
        </w:rPr>
        <w:t>全部内容进行投标。最终报价为人民币</w:t>
      </w:r>
      <w:r>
        <w:rPr>
          <w:rFonts w:hint="eastAsia" w:asciiTheme="minorEastAsia" w:hAnsiTheme="minorEastAsia" w:eastAsiaTheme="minorEastAsia" w:cstheme="minorEastAsia"/>
          <w:color w:val="auto"/>
          <w:sz w:val="24"/>
          <w:szCs w:val="24"/>
          <w:highlight w:val="none"/>
          <w:u w:val="single"/>
        </w:rPr>
        <w:t>（大写）   ___</w:t>
      </w:r>
      <w:r>
        <w:rPr>
          <w:rFonts w:hint="eastAsia" w:asciiTheme="minorEastAsia" w:hAnsiTheme="minorEastAsia" w:eastAsiaTheme="minorEastAsia" w:cstheme="minorEastAsia"/>
          <w:color w:val="auto"/>
          <w:sz w:val="24"/>
          <w:szCs w:val="24"/>
          <w:highlight w:val="none"/>
        </w:rPr>
        <w:t>元，品牌___/_____，产地</w:t>
      </w:r>
      <w:r>
        <w:rPr>
          <w:rFonts w:hint="eastAsia" w:asciiTheme="minorEastAsia" w:hAnsiTheme="minorEastAsia" w:eastAsiaTheme="minorEastAsia" w:cstheme="minorEastAsia"/>
          <w:color w:val="auto"/>
          <w:sz w:val="24"/>
          <w:szCs w:val="24"/>
          <w:highlight w:val="none"/>
          <w:u w:val="single"/>
        </w:rPr>
        <w:t xml:space="preserve">       /     </w:t>
      </w:r>
      <w:r>
        <w:rPr>
          <w:rFonts w:hint="eastAsia" w:asciiTheme="minorEastAsia" w:hAnsiTheme="minorEastAsia" w:eastAsiaTheme="minorEastAsia" w:cstheme="minorEastAsia"/>
          <w:color w:val="auto"/>
          <w:sz w:val="24"/>
          <w:szCs w:val="24"/>
          <w:highlight w:val="none"/>
        </w:rPr>
        <w:t>，交货期</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i/>
          <w:color w:val="auto"/>
          <w:sz w:val="24"/>
          <w:szCs w:val="24"/>
          <w:highlight w:val="none"/>
        </w:rPr>
        <w:t>（月或日历天）</w:t>
      </w:r>
      <w:r>
        <w:rPr>
          <w:rFonts w:hint="eastAsia" w:asciiTheme="minorEastAsia" w:hAnsiTheme="minorEastAsia" w:eastAsiaTheme="minorEastAsia" w:cstheme="minorEastAsia"/>
          <w:color w:val="auto"/>
          <w:sz w:val="24"/>
          <w:szCs w:val="24"/>
          <w:highlight w:val="none"/>
        </w:rPr>
        <w:t>，质量标准</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w:t>
      </w:r>
    </w:p>
    <w:p>
      <w:pPr>
        <w:pStyle w:val="17"/>
        <w:spacing w:line="360" w:lineRule="auto"/>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我方将严格按照有关建设工程招标投标法规及招标文件的规定参加投标，并理解贵方不一定接受最低标价的投标，对定标结果也没有解释义务。如由我方中标，在接到你方发出的中标通知书起</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天内递交委托合同价2%的履约保证金，并按中标通知书、招标文件和本投标函的约定与你方签订委托合同，履行规定的一切责任和义务。</w:t>
      </w:r>
    </w:p>
    <w:p>
      <w:pPr>
        <w:spacing w:line="360" w:lineRule="auto"/>
        <w:ind w:firstLine="547" w:firstLineChars="228"/>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我们同意从投标之日起在</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天的有效期内恪守本招标文件，在此期限期满之前的任何时间，本投标函全部条款内容对我方具有约束力。</w:t>
      </w:r>
    </w:p>
    <w:p>
      <w:pPr>
        <w:spacing w:line="360" w:lineRule="auto"/>
        <w:ind w:firstLine="547" w:firstLineChars="228"/>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color w:val="auto"/>
          <w:sz w:val="24"/>
          <w:szCs w:val="24"/>
          <w:highlight w:val="none"/>
        </w:rPr>
        <w:t>在合同协议书正式签署生效之前，本投标函连同你方的中标通知书将构成我们双方之间共同遵守的文件，对双方具有约束力。</w:t>
      </w:r>
    </w:p>
    <w:p>
      <w:pPr>
        <w:spacing w:line="360" w:lineRule="auto"/>
        <w:ind w:left="480" w:firstLine="211"/>
        <w:rPr>
          <w:rFonts w:asciiTheme="minorEastAsia" w:hAnsiTheme="minorEastAsia" w:eastAsiaTheme="minorEastAsia" w:cstheme="minorEastAsia"/>
          <w:b/>
          <w:color w:val="auto"/>
          <w:sz w:val="24"/>
          <w:szCs w:val="24"/>
          <w:highlight w:val="none"/>
        </w:rPr>
      </w:pPr>
    </w:p>
    <w:p>
      <w:pPr>
        <w:spacing w:line="360" w:lineRule="auto"/>
        <w:ind w:left="480" w:firstLine="211"/>
        <w:rPr>
          <w:rFonts w:asciiTheme="minorEastAsia" w:hAnsiTheme="minorEastAsia" w:eastAsiaTheme="minorEastAsia" w:cstheme="minorEastAsia"/>
          <w:b/>
          <w:color w:val="auto"/>
          <w:sz w:val="24"/>
          <w:szCs w:val="24"/>
          <w:highlight w:val="none"/>
        </w:rPr>
      </w:pPr>
    </w:p>
    <w:p>
      <w:pPr>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投标单位：</w:t>
      </w:r>
      <w:r>
        <w:rPr>
          <w:rFonts w:hint="eastAsia" w:asciiTheme="minorEastAsia" w:hAnsiTheme="minorEastAsia" w:eastAsiaTheme="minorEastAsia" w:cstheme="minorEastAsia"/>
          <w:color w:val="auto"/>
          <w:sz w:val="24"/>
          <w:szCs w:val="24"/>
          <w:highlight w:val="none"/>
          <w:u w:val="single"/>
        </w:rPr>
        <w:t xml:space="preserve">      </w:t>
      </w:r>
      <w:r>
        <w:rPr>
          <w:rFonts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（盖章）</w:t>
      </w:r>
    </w:p>
    <w:p>
      <w:pPr>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法定代表或授权代表：</w:t>
      </w:r>
      <w:r>
        <w:rPr>
          <w:rFonts w:hint="eastAsia" w:asciiTheme="minorEastAsia" w:hAnsiTheme="minorEastAsia" w:eastAsiaTheme="minorEastAsia" w:cstheme="minorEastAsia"/>
          <w:color w:val="auto"/>
          <w:sz w:val="24"/>
          <w:szCs w:val="24"/>
          <w:highlight w:val="none"/>
          <w:u w:val="single"/>
        </w:rPr>
        <w:t xml:space="preserve">      </w:t>
      </w:r>
      <w:r>
        <w:rPr>
          <w:rFonts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（签字或盖章）</w:t>
      </w:r>
    </w:p>
    <w:p>
      <w:pPr>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联系人：                联系地址：</w:t>
      </w:r>
    </w:p>
    <w:p>
      <w:pPr>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电话：                  邮编：</w:t>
      </w:r>
    </w:p>
    <w:p>
      <w:pPr>
        <w:spacing w:line="360" w:lineRule="auto"/>
        <w:ind w:firstLine="21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w:t>
      </w:r>
    </w:p>
    <w:p>
      <w:pPr>
        <w:spacing w:line="360" w:lineRule="auto"/>
        <w:rPr>
          <w:rFonts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日期：  年    月    日  </w:t>
      </w:r>
    </w:p>
    <w:p>
      <w:pPr>
        <w:pStyle w:val="2"/>
        <w:ind w:firstLine="340"/>
        <w:rPr>
          <w:color w:val="auto"/>
          <w:highlight w:val="none"/>
        </w:rPr>
      </w:pPr>
    </w:p>
    <w:p>
      <w:pPr>
        <w:rPr>
          <w:color w:val="auto"/>
          <w:highlight w:val="none"/>
        </w:rPr>
      </w:pPr>
    </w:p>
    <w:p>
      <w:pPr>
        <w:pStyle w:val="5"/>
        <w:spacing w:before="120" w:after="120" w:line="400" w:lineRule="exact"/>
        <w:jc w:val="left"/>
        <w:rPr>
          <w:rFonts w:asciiTheme="minorEastAsia" w:hAnsiTheme="minorEastAsia" w:eastAsiaTheme="minorEastAsia" w:cstheme="minorEastAsia"/>
          <w:b w:val="0"/>
          <w:bCs w:val="0"/>
          <w:color w:val="auto"/>
          <w:sz w:val="24"/>
          <w:szCs w:val="24"/>
          <w:highlight w:val="none"/>
        </w:rPr>
      </w:pPr>
      <w:r>
        <w:rPr>
          <w:rFonts w:hint="eastAsia" w:asciiTheme="minorEastAsia" w:hAnsiTheme="minorEastAsia" w:eastAsiaTheme="minorEastAsia" w:cstheme="minorEastAsia"/>
          <w:b w:val="0"/>
          <w:bCs w:val="0"/>
          <w:color w:val="auto"/>
          <w:sz w:val="24"/>
          <w:szCs w:val="24"/>
          <w:highlight w:val="none"/>
        </w:rPr>
        <w:t>格式二</w:t>
      </w:r>
    </w:p>
    <w:p>
      <w:pPr>
        <w:pStyle w:val="5"/>
        <w:spacing w:before="120" w:after="120" w:line="400" w:lineRule="exact"/>
        <w:ind w:firstLine="280"/>
        <w:rPr>
          <w:rFonts w:asciiTheme="minorEastAsia" w:hAnsiTheme="minorEastAsia" w:eastAsiaTheme="minorEastAsia" w:cstheme="minorEastAsia"/>
          <w:b w:val="0"/>
          <w:bCs w:val="0"/>
          <w:color w:val="auto"/>
          <w:sz w:val="24"/>
          <w:szCs w:val="24"/>
          <w:highlight w:val="none"/>
        </w:rPr>
      </w:pPr>
      <w:r>
        <w:rPr>
          <w:rFonts w:hint="eastAsia" w:asciiTheme="minorEastAsia" w:hAnsiTheme="minorEastAsia" w:eastAsiaTheme="minorEastAsia" w:cstheme="minorEastAsia"/>
          <w:b w:val="0"/>
          <w:bCs w:val="0"/>
          <w:color w:val="auto"/>
          <w:sz w:val="24"/>
          <w:szCs w:val="24"/>
          <w:highlight w:val="none"/>
        </w:rPr>
        <w:t>法定代表人身份证明</w:t>
      </w:r>
    </w:p>
    <w:p>
      <w:pPr>
        <w:spacing w:line="360" w:lineRule="auto"/>
        <w:ind w:firstLine="280"/>
        <w:jc w:val="center"/>
        <w:rPr>
          <w:rFonts w:asciiTheme="minorEastAsia" w:hAnsiTheme="minorEastAsia" w:eastAsiaTheme="minorEastAsia" w:cstheme="minorEastAsia"/>
          <w:color w:val="auto"/>
          <w:kern w:val="44"/>
          <w:sz w:val="24"/>
          <w:szCs w:val="24"/>
          <w:highlight w:val="none"/>
        </w:rPr>
      </w:pPr>
    </w:p>
    <w:p>
      <w:pPr>
        <w:ind w:firstLine="210"/>
        <w:rPr>
          <w:rFonts w:asciiTheme="minorEastAsia" w:hAnsiTheme="minorEastAsia" w:eastAsiaTheme="minorEastAsia" w:cstheme="minorEastAsia"/>
          <w:color w:val="auto"/>
          <w:sz w:val="24"/>
          <w:szCs w:val="24"/>
          <w:highlight w:val="none"/>
        </w:rPr>
      </w:pPr>
    </w:p>
    <w:p>
      <w:pPr>
        <w:ind w:firstLine="21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投标人名称：</w:t>
      </w:r>
      <w:r>
        <w:rPr>
          <w:rFonts w:hint="eastAsia" w:asciiTheme="minorEastAsia" w:hAnsiTheme="minorEastAsia" w:eastAsiaTheme="minorEastAsia" w:cstheme="minorEastAsia"/>
          <w:color w:val="auto"/>
          <w:sz w:val="24"/>
          <w:szCs w:val="24"/>
          <w:highlight w:val="none"/>
          <w:u w:val="single"/>
        </w:rPr>
        <w:t xml:space="preserve">                             </w:t>
      </w:r>
    </w:p>
    <w:p>
      <w:pPr>
        <w:ind w:firstLine="21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单位性质：</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 </w:t>
      </w:r>
    </w:p>
    <w:p>
      <w:pPr>
        <w:ind w:firstLine="21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地址：</w:t>
      </w:r>
      <w:r>
        <w:rPr>
          <w:rFonts w:hint="eastAsia" w:asciiTheme="minorEastAsia" w:hAnsiTheme="minorEastAsia" w:eastAsiaTheme="minorEastAsia" w:cstheme="minorEastAsia"/>
          <w:color w:val="auto"/>
          <w:sz w:val="24"/>
          <w:szCs w:val="24"/>
          <w:highlight w:val="none"/>
          <w:u w:val="single"/>
        </w:rPr>
        <w:t xml:space="preserve">                                   </w:t>
      </w:r>
    </w:p>
    <w:p>
      <w:pPr>
        <w:ind w:firstLine="21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成立时间：</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 年</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 月</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 日</w:t>
      </w:r>
    </w:p>
    <w:p>
      <w:pPr>
        <w:ind w:firstLine="21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经营期限：</w:t>
      </w:r>
      <w:r>
        <w:rPr>
          <w:rFonts w:hint="eastAsia" w:asciiTheme="minorEastAsia" w:hAnsiTheme="minorEastAsia" w:eastAsiaTheme="minorEastAsia" w:cstheme="minorEastAsia"/>
          <w:color w:val="auto"/>
          <w:sz w:val="24"/>
          <w:szCs w:val="24"/>
          <w:highlight w:val="none"/>
          <w:u w:val="single"/>
        </w:rPr>
        <w:t xml:space="preserve">                               </w:t>
      </w:r>
    </w:p>
    <w:p>
      <w:pPr>
        <w:ind w:firstLine="21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姓名：</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 性别：</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 年龄：</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职务：</w:t>
      </w:r>
      <w:r>
        <w:rPr>
          <w:rFonts w:hint="eastAsia" w:asciiTheme="minorEastAsia" w:hAnsiTheme="minorEastAsia" w:eastAsiaTheme="minorEastAsia" w:cstheme="minorEastAsia"/>
          <w:color w:val="auto"/>
          <w:sz w:val="24"/>
          <w:szCs w:val="24"/>
          <w:highlight w:val="none"/>
          <w:u w:val="single"/>
        </w:rPr>
        <w:t xml:space="preserve">        </w:t>
      </w:r>
    </w:p>
    <w:p>
      <w:pPr>
        <w:ind w:firstLine="21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系</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 （投标人名称）的法定代表人。</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特此证明。</w:t>
      </w:r>
    </w:p>
    <w:p>
      <w:pPr>
        <w:ind w:firstLine="210"/>
        <w:rPr>
          <w:rFonts w:asciiTheme="minorEastAsia" w:hAnsiTheme="minorEastAsia" w:eastAsiaTheme="minorEastAsia" w:cstheme="minorEastAsia"/>
          <w:color w:val="auto"/>
          <w:sz w:val="24"/>
          <w:szCs w:val="24"/>
          <w:highlight w:val="none"/>
        </w:rPr>
      </w:pPr>
    </w:p>
    <w:p>
      <w:pPr>
        <w:ind w:firstLine="210"/>
        <w:rPr>
          <w:rFonts w:asciiTheme="minorEastAsia" w:hAnsiTheme="minorEastAsia" w:eastAsiaTheme="minorEastAsia" w:cstheme="minorEastAsia"/>
          <w:color w:val="auto"/>
          <w:sz w:val="24"/>
          <w:szCs w:val="24"/>
          <w:highlight w:val="none"/>
        </w:rPr>
      </w:pPr>
    </w:p>
    <w:p>
      <w:pPr>
        <w:ind w:firstLine="21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投标人：</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（盖章）</w:t>
      </w:r>
    </w:p>
    <w:p>
      <w:pPr>
        <w:ind w:firstLine="21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年</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月</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日         </w:t>
      </w:r>
    </w:p>
    <w:p>
      <w:pPr>
        <w:ind w:firstLine="210"/>
        <w:rPr>
          <w:rFonts w:asciiTheme="minorEastAsia" w:hAnsiTheme="minorEastAsia" w:eastAsiaTheme="minorEastAsia" w:cstheme="minorEastAsia"/>
          <w:color w:val="auto"/>
          <w:sz w:val="24"/>
          <w:szCs w:val="24"/>
          <w:highlight w:val="none"/>
        </w:rPr>
      </w:pPr>
    </w:p>
    <w:tbl>
      <w:tblPr>
        <w:tblStyle w:val="27"/>
        <w:tblW w:w="5886" w:type="dxa"/>
        <w:tblInd w:w="2088" w:type="dxa"/>
        <w:tblLayout w:type="fixed"/>
        <w:tblCellMar>
          <w:top w:w="0" w:type="dxa"/>
          <w:left w:w="108" w:type="dxa"/>
          <w:bottom w:w="0" w:type="dxa"/>
          <w:right w:w="108" w:type="dxa"/>
        </w:tblCellMar>
      </w:tblPr>
      <w:tblGrid>
        <w:gridCol w:w="5886"/>
      </w:tblGrid>
      <w:tr>
        <w:tblPrEx>
          <w:tblCellMar>
            <w:top w:w="0" w:type="dxa"/>
            <w:left w:w="108" w:type="dxa"/>
            <w:bottom w:w="0" w:type="dxa"/>
            <w:right w:w="108" w:type="dxa"/>
          </w:tblCellMar>
        </w:tblPrEx>
        <w:tc>
          <w:tcPr>
            <w:tcW w:w="5886" w:type="dxa"/>
            <w:tcBorders>
              <w:top w:val="single" w:color="auto" w:sz="4" w:space="0"/>
              <w:left w:val="single" w:color="auto" w:sz="4" w:space="0"/>
              <w:bottom w:val="single" w:color="auto" w:sz="4" w:space="0"/>
              <w:right w:val="single" w:color="auto" w:sz="4" w:space="0"/>
            </w:tcBorders>
          </w:tcPr>
          <w:p>
            <w:pPr>
              <w:adjustRightInd w:val="0"/>
              <w:snapToGrid w:val="0"/>
              <w:ind w:left="5250"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w:t>
            </w:r>
          </w:p>
          <w:p>
            <w:pPr>
              <w:adjustRightInd w:val="0"/>
              <w:snapToGrid w:val="0"/>
              <w:ind w:firstLine="210"/>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法定代表人身份证复印件</w:t>
            </w:r>
          </w:p>
          <w:p>
            <w:pPr>
              <w:adjustRightInd w:val="0"/>
              <w:snapToGrid w:val="0"/>
              <w:ind w:left="5250" w:firstLine="480" w:firstLineChars="200"/>
              <w:rPr>
                <w:rFonts w:asciiTheme="minorEastAsia" w:hAnsiTheme="minorEastAsia" w:eastAsiaTheme="minorEastAsia" w:cstheme="minorEastAsia"/>
                <w:color w:val="auto"/>
                <w:sz w:val="24"/>
                <w:szCs w:val="24"/>
                <w:highlight w:val="none"/>
              </w:rPr>
            </w:pPr>
          </w:p>
          <w:p>
            <w:pPr>
              <w:adjustRightInd w:val="0"/>
              <w:snapToGrid w:val="0"/>
              <w:ind w:left="5250" w:firstLine="480" w:firstLineChars="200"/>
              <w:rPr>
                <w:rFonts w:asciiTheme="minorEastAsia" w:hAnsiTheme="minorEastAsia" w:eastAsiaTheme="minorEastAsia" w:cstheme="minorEastAsia"/>
                <w:color w:val="auto"/>
                <w:sz w:val="24"/>
                <w:szCs w:val="24"/>
                <w:highlight w:val="none"/>
              </w:rPr>
            </w:pPr>
          </w:p>
          <w:p>
            <w:pPr>
              <w:adjustRightInd w:val="0"/>
              <w:snapToGrid w:val="0"/>
              <w:ind w:left="5250" w:firstLine="480" w:firstLineChars="200"/>
              <w:rPr>
                <w:rFonts w:asciiTheme="minorEastAsia" w:hAnsiTheme="minorEastAsia" w:eastAsiaTheme="minorEastAsia" w:cstheme="minorEastAsia"/>
                <w:color w:val="auto"/>
                <w:sz w:val="24"/>
                <w:szCs w:val="24"/>
                <w:highlight w:val="none"/>
              </w:rPr>
            </w:pPr>
          </w:p>
          <w:p>
            <w:pPr>
              <w:adjustRightInd w:val="0"/>
              <w:snapToGrid w:val="0"/>
              <w:ind w:left="5250" w:firstLine="480" w:firstLineChars="200"/>
              <w:rPr>
                <w:rFonts w:asciiTheme="minorEastAsia" w:hAnsiTheme="minorEastAsia" w:eastAsiaTheme="minorEastAsia" w:cstheme="minorEastAsia"/>
                <w:color w:val="auto"/>
                <w:sz w:val="24"/>
                <w:szCs w:val="24"/>
                <w:highlight w:val="none"/>
              </w:rPr>
            </w:pPr>
          </w:p>
          <w:p>
            <w:pPr>
              <w:adjustRightInd w:val="0"/>
              <w:snapToGrid w:val="0"/>
              <w:ind w:left="5250" w:firstLine="480" w:firstLineChars="200"/>
              <w:rPr>
                <w:rFonts w:asciiTheme="minorEastAsia" w:hAnsiTheme="minorEastAsia" w:eastAsiaTheme="minorEastAsia" w:cstheme="minorEastAsia"/>
                <w:color w:val="auto"/>
                <w:sz w:val="24"/>
                <w:szCs w:val="24"/>
                <w:highlight w:val="none"/>
              </w:rPr>
            </w:pPr>
          </w:p>
          <w:p>
            <w:pPr>
              <w:adjustRightInd w:val="0"/>
              <w:snapToGrid w:val="0"/>
              <w:ind w:left="5250" w:firstLine="480" w:firstLineChars="200"/>
              <w:rPr>
                <w:rFonts w:asciiTheme="minorEastAsia" w:hAnsiTheme="minorEastAsia" w:eastAsiaTheme="minorEastAsia" w:cstheme="minorEastAsia"/>
                <w:color w:val="auto"/>
                <w:sz w:val="24"/>
                <w:szCs w:val="24"/>
                <w:highlight w:val="none"/>
              </w:rPr>
            </w:pPr>
          </w:p>
        </w:tc>
      </w:tr>
    </w:tbl>
    <w:p>
      <w:pPr>
        <w:pStyle w:val="5"/>
        <w:spacing w:before="120" w:after="120" w:line="400" w:lineRule="exact"/>
        <w:ind w:firstLine="321"/>
        <w:jc w:val="left"/>
        <w:rPr>
          <w:rFonts w:asciiTheme="minorEastAsia" w:hAnsiTheme="minorEastAsia" w:eastAsiaTheme="minorEastAsia" w:cstheme="minorEastAsia"/>
          <w:b w:val="0"/>
          <w:bCs w:val="0"/>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w:t>
      </w:r>
      <w:r>
        <w:rPr>
          <w:rFonts w:hint="eastAsia" w:asciiTheme="minorEastAsia" w:hAnsiTheme="minorEastAsia" w:eastAsiaTheme="minorEastAsia" w:cstheme="minorEastAsia"/>
          <w:color w:val="auto"/>
          <w:sz w:val="24"/>
          <w:szCs w:val="24"/>
          <w:highlight w:val="none"/>
        </w:rPr>
        <w:br w:type="page"/>
      </w:r>
      <w:r>
        <w:rPr>
          <w:rFonts w:hint="eastAsia" w:asciiTheme="minorEastAsia" w:hAnsiTheme="minorEastAsia" w:eastAsiaTheme="minorEastAsia" w:cstheme="minorEastAsia"/>
          <w:b w:val="0"/>
          <w:bCs w:val="0"/>
          <w:color w:val="auto"/>
          <w:sz w:val="24"/>
          <w:szCs w:val="24"/>
          <w:highlight w:val="none"/>
        </w:rPr>
        <w:t>格式三</w:t>
      </w:r>
    </w:p>
    <w:p>
      <w:pPr>
        <w:pStyle w:val="5"/>
        <w:spacing w:before="120" w:after="120" w:line="400" w:lineRule="exact"/>
        <w:ind w:firstLine="280"/>
        <w:rPr>
          <w:rFonts w:asciiTheme="minorEastAsia" w:hAnsiTheme="minorEastAsia" w:eastAsiaTheme="minorEastAsia" w:cstheme="minorEastAsia"/>
          <w:b w:val="0"/>
          <w:bCs w:val="0"/>
          <w:color w:val="auto"/>
          <w:sz w:val="24"/>
          <w:szCs w:val="24"/>
          <w:highlight w:val="none"/>
        </w:rPr>
      </w:pPr>
      <w:r>
        <w:rPr>
          <w:rFonts w:hint="eastAsia" w:asciiTheme="minorEastAsia" w:hAnsiTheme="minorEastAsia" w:eastAsiaTheme="minorEastAsia" w:cstheme="minorEastAsia"/>
          <w:b w:val="0"/>
          <w:bCs w:val="0"/>
          <w:color w:val="auto"/>
          <w:sz w:val="24"/>
          <w:szCs w:val="24"/>
          <w:highlight w:val="none"/>
        </w:rPr>
        <w:t>授权委托书</w:t>
      </w:r>
    </w:p>
    <w:p>
      <w:pPr>
        <w:spacing w:line="420" w:lineRule="exact"/>
        <w:ind w:firstLine="280"/>
        <w:rPr>
          <w:rFonts w:asciiTheme="minorEastAsia" w:hAnsiTheme="minorEastAsia" w:eastAsiaTheme="minorEastAsia" w:cstheme="minorEastAsia"/>
          <w:color w:val="auto"/>
          <w:kern w:val="44"/>
          <w:sz w:val="24"/>
          <w:szCs w:val="24"/>
          <w:highlight w:val="none"/>
        </w:rPr>
      </w:pPr>
    </w:p>
    <w:p>
      <w:pPr>
        <w:topLinePunct/>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本人</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（姓名）系</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（投标人名称）的法定代表人，现委托</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（姓名）为我方代理人。代理人根据授权，以我方名义签署、澄清、说明、补正、递交、撤回、修改</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（项目名称）的投标文件、签订合同和处理有关事宜，其法律后果由我方承担。</w:t>
      </w:r>
    </w:p>
    <w:p>
      <w:pPr>
        <w:ind w:firstLine="21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委托期限：</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w:t>
      </w:r>
    </w:p>
    <w:p>
      <w:pPr>
        <w:ind w:firstLine="21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代理人无转委托权。</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附：法定代表人身份证明</w:t>
      </w:r>
    </w:p>
    <w:p>
      <w:pPr>
        <w:ind w:firstLine="210"/>
        <w:rPr>
          <w:rFonts w:asciiTheme="minorEastAsia" w:hAnsiTheme="minorEastAsia" w:eastAsiaTheme="minorEastAsia" w:cstheme="minorEastAsia"/>
          <w:color w:val="auto"/>
          <w:sz w:val="24"/>
          <w:szCs w:val="24"/>
          <w:highlight w:val="none"/>
        </w:rPr>
      </w:pPr>
    </w:p>
    <w:p>
      <w:pPr>
        <w:ind w:firstLine="210"/>
        <w:rPr>
          <w:rFonts w:asciiTheme="minorEastAsia" w:hAnsiTheme="minorEastAsia" w:eastAsiaTheme="minorEastAsia" w:cstheme="minorEastAsia"/>
          <w:color w:val="auto"/>
          <w:sz w:val="24"/>
          <w:szCs w:val="24"/>
          <w:highlight w:val="none"/>
        </w:rPr>
      </w:pPr>
    </w:p>
    <w:p>
      <w:pPr>
        <w:ind w:firstLine="21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投标人：</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（盖章）</w:t>
      </w:r>
    </w:p>
    <w:p>
      <w:pPr>
        <w:ind w:firstLine="21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法定代表人：</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（签字或盖章）</w:t>
      </w:r>
    </w:p>
    <w:p>
      <w:pPr>
        <w:ind w:firstLine="21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身份证号码：</w:t>
      </w:r>
      <w:r>
        <w:rPr>
          <w:rFonts w:hint="eastAsia" w:asciiTheme="minorEastAsia" w:hAnsiTheme="minorEastAsia" w:eastAsiaTheme="minorEastAsia" w:cstheme="minorEastAsia"/>
          <w:color w:val="auto"/>
          <w:sz w:val="24"/>
          <w:szCs w:val="24"/>
          <w:highlight w:val="none"/>
          <w:u w:val="single"/>
        </w:rPr>
        <w:t xml:space="preserve">                                     </w:t>
      </w:r>
    </w:p>
    <w:p>
      <w:pPr>
        <w:ind w:firstLine="21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委托代理人：</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（签字或盖章） </w:t>
      </w:r>
    </w:p>
    <w:p>
      <w:pPr>
        <w:ind w:firstLine="21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身份证号码：</w:t>
      </w:r>
      <w:r>
        <w:rPr>
          <w:rFonts w:hint="eastAsia" w:asciiTheme="minorEastAsia" w:hAnsiTheme="minorEastAsia" w:eastAsiaTheme="minorEastAsia" w:cstheme="minorEastAsia"/>
          <w:color w:val="auto"/>
          <w:sz w:val="24"/>
          <w:szCs w:val="24"/>
          <w:highlight w:val="none"/>
          <w:u w:val="single"/>
        </w:rPr>
        <w:t xml:space="preserve">                                      </w:t>
      </w:r>
    </w:p>
    <w:p>
      <w:pPr>
        <w:ind w:firstLine="210"/>
        <w:rPr>
          <w:rFonts w:asciiTheme="minorEastAsia" w:hAnsiTheme="minorEastAsia" w:eastAsiaTheme="minorEastAsia" w:cstheme="minorEastAsia"/>
          <w:color w:val="auto"/>
          <w:sz w:val="24"/>
          <w:szCs w:val="24"/>
          <w:highlight w:val="none"/>
        </w:rPr>
      </w:pPr>
    </w:p>
    <w:p>
      <w:pPr>
        <w:ind w:firstLine="2640" w:firstLineChars="11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年</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月</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日</w:t>
      </w:r>
    </w:p>
    <w:p>
      <w:pPr>
        <w:ind w:firstLine="6360" w:firstLineChars="2650"/>
        <w:rPr>
          <w:rFonts w:asciiTheme="minorEastAsia" w:hAnsiTheme="minorEastAsia" w:eastAsiaTheme="minorEastAsia" w:cstheme="minorEastAsia"/>
          <w:color w:val="auto"/>
          <w:sz w:val="24"/>
          <w:szCs w:val="24"/>
          <w:highlight w:val="none"/>
        </w:rPr>
      </w:pPr>
    </w:p>
    <w:p>
      <w:pPr>
        <w:ind w:firstLine="210"/>
        <w:rPr>
          <w:rFonts w:asciiTheme="minorEastAsia" w:hAnsiTheme="minorEastAsia" w:eastAsiaTheme="minorEastAsia" w:cstheme="minorEastAsia"/>
          <w:color w:val="auto"/>
          <w:sz w:val="24"/>
          <w:szCs w:val="24"/>
          <w:highlight w:val="none"/>
        </w:rPr>
      </w:pPr>
    </w:p>
    <w:p>
      <w:pPr>
        <w:ind w:firstLine="210"/>
        <w:rPr>
          <w:rFonts w:asciiTheme="minorEastAsia" w:hAnsiTheme="minorEastAsia" w:eastAsiaTheme="minorEastAsia" w:cstheme="minorEastAsia"/>
          <w:color w:val="auto"/>
          <w:sz w:val="24"/>
          <w:szCs w:val="24"/>
          <w:highlight w:val="none"/>
        </w:rPr>
      </w:pPr>
    </w:p>
    <w:tbl>
      <w:tblPr>
        <w:tblStyle w:val="27"/>
        <w:tblW w:w="5886" w:type="dxa"/>
        <w:tblInd w:w="1908" w:type="dxa"/>
        <w:tblLayout w:type="fixed"/>
        <w:tblCellMar>
          <w:top w:w="0" w:type="dxa"/>
          <w:left w:w="108" w:type="dxa"/>
          <w:bottom w:w="0" w:type="dxa"/>
          <w:right w:w="108" w:type="dxa"/>
        </w:tblCellMar>
      </w:tblPr>
      <w:tblGrid>
        <w:gridCol w:w="5886"/>
      </w:tblGrid>
      <w:tr>
        <w:tblPrEx>
          <w:tblCellMar>
            <w:top w:w="0" w:type="dxa"/>
            <w:left w:w="108" w:type="dxa"/>
            <w:bottom w:w="0" w:type="dxa"/>
            <w:right w:w="108" w:type="dxa"/>
          </w:tblCellMar>
        </w:tblPrEx>
        <w:tc>
          <w:tcPr>
            <w:tcW w:w="5886" w:type="dxa"/>
            <w:tcBorders>
              <w:top w:val="single" w:color="auto" w:sz="4" w:space="0"/>
              <w:left w:val="single" w:color="auto" w:sz="4" w:space="0"/>
              <w:bottom w:val="single" w:color="auto" w:sz="4" w:space="0"/>
              <w:right w:val="single" w:color="auto" w:sz="4" w:space="0"/>
            </w:tcBorders>
          </w:tcPr>
          <w:p>
            <w:pPr>
              <w:adjustRightInd w:val="0"/>
              <w:snapToGrid w:val="0"/>
              <w:ind w:left="5250"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w:t>
            </w:r>
          </w:p>
          <w:p>
            <w:pPr>
              <w:adjustRightInd w:val="0"/>
              <w:snapToGrid w:val="0"/>
              <w:ind w:firstLine="210"/>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委托代理人身份证复印件</w:t>
            </w:r>
          </w:p>
          <w:p>
            <w:pPr>
              <w:adjustRightInd w:val="0"/>
              <w:snapToGrid w:val="0"/>
              <w:ind w:left="5250" w:firstLine="480" w:firstLineChars="200"/>
              <w:rPr>
                <w:rFonts w:asciiTheme="minorEastAsia" w:hAnsiTheme="minorEastAsia" w:eastAsiaTheme="minorEastAsia" w:cstheme="minorEastAsia"/>
                <w:color w:val="auto"/>
                <w:sz w:val="24"/>
                <w:szCs w:val="24"/>
                <w:highlight w:val="none"/>
              </w:rPr>
            </w:pPr>
          </w:p>
          <w:p>
            <w:pPr>
              <w:adjustRightInd w:val="0"/>
              <w:snapToGrid w:val="0"/>
              <w:ind w:left="5250" w:firstLine="480" w:firstLineChars="200"/>
              <w:rPr>
                <w:rFonts w:asciiTheme="minorEastAsia" w:hAnsiTheme="minorEastAsia" w:eastAsiaTheme="minorEastAsia" w:cstheme="minorEastAsia"/>
                <w:color w:val="auto"/>
                <w:sz w:val="24"/>
                <w:szCs w:val="24"/>
                <w:highlight w:val="none"/>
              </w:rPr>
            </w:pPr>
          </w:p>
          <w:p>
            <w:pPr>
              <w:adjustRightInd w:val="0"/>
              <w:snapToGrid w:val="0"/>
              <w:ind w:left="5250" w:firstLine="480" w:firstLineChars="200"/>
              <w:rPr>
                <w:rFonts w:asciiTheme="minorEastAsia" w:hAnsiTheme="minorEastAsia" w:eastAsiaTheme="minorEastAsia" w:cstheme="minorEastAsia"/>
                <w:color w:val="auto"/>
                <w:sz w:val="24"/>
                <w:szCs w:val="24"/>
                <w:highlight w:val="none"/>
              </w:rPr>
            </w:pPr>
          </w:p>
          <w:p>
            <w:pPr>
              <w:adjustRightInd w:val="0"/>
              <w:snapToGrid w:val="0"/>
              <w:ind w:left="5250" w:firstLine="480" w:firstLineChars="200"/>
              <w:rPr>
                <w:rFonts w:asciiTheme="minorEastAsia" w:hAnsiTheme="minorEastAsia" w:eastAsiaTheme="minorEastAsia" w:cstheme="minorEastAsia"/>
                <w:color w:val="auto"/>
                <w:sz w:val="24"/>
                <w:szCs w:val="24"/>
                <w:highlight w:val="none"/>
              </w:rPr>
            </w:pPr>
          </w:p>
          <w:p>
            <w:pPr>
              <w:adjustRightInd w:val="0"/>
              <w:snapToGrid w:val="0"/>
              <w:ind w:left="5250" w:firstLine="480" w:firstLineChars="200"/>
              <w:rPr>
                <w:rFonts w:asciiTheme="minorEastAsia" w:hAnsiTheme="minorEastAsia" w:eastAsiaTheme="minorEastAsia" w:cstheme="minorEastAsia"/>
                <w:color w:val="auto"/>
                <w:sz w:val="24"/>
                <w:szCs w:val="24"/>
                <w:highlight w:val="none"/>
              </w:rPr>
            </w:pPr>
          </w:p>
          <w:p>
            <w:pPr>
              <w:adjustRightInd w:val="0"/>
              <w:snapToGrid w:val="0"/>
              <w:ind w:left="5250" w:firstLine="480" w:firstLineChars="200"/>
              <w:rPr>
                <w:rFonts w:asciiTheme="minorEastAsia" w:hAnsiTheme="minorEastAsia" w:eastAsiaTheme="minorEastAsia" w:cstheme="minorEastAsia"/>
                <w:color w:val="auto"/>
                <w:sz w:val="24"/>
                <w:szCs w:val="24"/>
                <w:highlight w:val="none"/>
              </w:rPr>
            </w:pPr>
          </w:p>
        </w:tc>
      </w:tr>
    </w:tbl>
    <w:p>
      <w:pPr>
        <w:jc w:val="left"/>
        <w:rPr>
          <w:rFonts w:asciiTheme="minorEastAsia" w:hAnsiTheme="minorEastAsia" w:eastAsiaTheme="minorEastAsia" w:cstheme="minorEastAsia"/>
          <w:b/>
          <w:color w:val="auto"/>
          <w:sz w:val="24"/>
          <w:szCs w:val="24"/>
          <w:highlight w:val="none"/>
        </w:rPr>
      </w:pPr>
    </w:p>
    <w:p>
      <w:pPr>
        <w:spacing w:line="360" w:lineRule="auto"/>
        <w:ind w:firstLine="211"/>
        <w:jc w:val="left"/>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 </w:t>
      </w:r>
    </w:p>
    <w:p>
      <w:pPr>
        <w:spacing w:line="360" w:lineRule="auto"/>
        <w:ind w:firstLine="211"/>
        <w:jc w:val="left"/>
        <w:rPr>
          <w:rFonts w:asciiTheme="minorEastAsia" w:hAnsiTheme="minorEastAsia" w:eastAsiaTheme="minorEastAsia" w:cstheme="minorEastAsia"/>
          <w:b/>
          <w:color w:val="auto"/>
          <w:sz w:val="24"/>
          <w:szCs w:val="24"/>
          <w:highlight w:val="none"/>
        </w:rPr>
      </w:pPr>
    </w:p>
    <w:p>
      <w:pPr>
        <w:spacing w:line="360" w:lineRule="auto"/>
        <w:ind w:firstLine="211"/>
        <w:jc w:val="left"/>
        <w:rPr>
          <w:rFonts w:asciiTheme="minorEastAsia" w:hAnsiTheme="minorEastAsia" w:eastAsiaTheme="minorEastAsia" w:cstheme="minorEastAsia"/>
          <w:b/>
          <w:color w:val="auto"/>
          <w:sz w:val="24"/>
          <w:szCs w:val="24"/>
          <w:highlight w:val="none"/>
        </w:rPr>
        <w:sectPr>
          <w:footerReference r:id="rId6" w:type="default"/>
          <w:pgSz w:w="11905" w:h="16838"/>
          <w:pgMar w:top="1417" w:right="1134" w:bottom="1417" w:left="1134" w:header="680" w:footer="680" w:gutter="0"/>
          <w:cols w:space="0" w:num="1"/>
          <w:docGrid w:linePitch="312" w:charSpace="0"/>
        </w:sectPr>
      </w:pPr>
    </w:p>
    <w:p>
      <w:pPr>
        <w:pStyle w:val="5"/>
        <w:spacing w:before="120" w:after="120" w:line="400" w:lineRule="exact"/>
        <w:ind w:firstLine="280"/>
        <w:jc w:val="left"/>
        <w:rPr>
          <w:rFonts w:asciiTheme="minorEastAsia" w:hAnsiTheme="minorEastAsia" w:eastAsiaTheme="minorEastAsia" w:cstheme="minorEastAsia"/>
          <w:b w:val="0"/>
          <w:bCs w:val="0"/>
          <w:color w:val="auto"/>
          <w:sz w:val="24"/>
          <w:szCs w:val="24"/>
          <w:highlight w:val="none"/>
        </w:rPr>
      </w:pPr>
      <w:r>
        <w:rPr>
          <w:rFonts w:hint="eastAsia" w:asciiTheme="minorEastAsia" w:hAnsiTheme="minorEastAsia" w:eastAsiaTheme="minorEastAsia" w:cstheme="minorEastAsia"/>
          <w:b w:val="0"/>
          <w:bCs w:val="0"/>
          <w:color w:val="auto"/>
          <w:sz w:val="24"/>
          <w:szCs w:val="24"/>
          <w:highlight w:val="none"/>
        </w:rPr>
        <w:t>格式四</w:t>
      </w:r>
    </w:p>
    <w:p>
      <w:pPr>
        <w:ind w:firstLine="321"/>
        <w:jc w:val="center"/>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投标报价表</w:t>
      </w:r>
    </w:p>
    <w:p>
      <w:pPr>
        <w:tabs>
          <w:tab w:val="left" w:pos="1800"/>
        </w:tabs>
        <w:ind w:firstLine="2880" w:firstLineChars="1200"/>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单位：人民币元</w:t>
      </w:r>
    </w:p>
    <w:tbl>
      <w:tblPr>
        <w:tblStyle w:val="27"/>
        <w:tblW w:w="147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3"/>
        <w:gridCol w:w="1834"/>
        <w:gridCol w:w="960"/>
        <w:gridCol w:w="886"/>
        <w:gridCol w:w="895"/>
        <w:gridCol w:w="1175"/>
        <w:gridCol w:w="1261"/>
        <w:gridCol w:w="1603"/>
        <w:gridCol w:w="1476"/>
        <w:gridCol w:w="989"/>
        <w:gridCol w:w="1400"/>
        <w:gridCol w:w="765"/>
        <w:gridCol w:w="105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9" w:hRule="atLeast"/>
          <w:jc w:val="center"/>
        </w:trPr>
        <w:tc>
          <w:tcPr>
            <w:tcW w:w="463" w:type="dxa"/>
            <w:vAlign w:val="center"/>
          </w:tcPr>
          <w:p>
            <w:pPr>
              <w:tabs>
                <w:tab w:val="left" w:pos="1800"/>
              </w:tabs>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w:t>
            </w:r>
          </w:p>
        </w:tc>
        <w:tc>
          <w:tcPr>
            <w:tcW w:w="1834" w:type="dxa"/>
            <w:vAlign w:val="center"/>
          </w:tcPr>
          <w:p>
            <w:pPr>
              <w:tabs>
                <w:tab w:val="left" w:pos="1800"/>
              </w:tabs>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w:t>
            </w:r>
          </w:p>
        </w:tc>
        <w:tc>
          <w:tcPr>
            <w:tcW w:w="960" w:type="dxa"/>
            <w:vAlign w:val="center"/>
          </w:tcPr>
          <w:p>
            <w:pPr>
              <w:tabs>
                <w:tab w:val="left" w:pos="1800"/>
              </w:tabs>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w:t>
            </w:r>
          </w:p>
        </w:tc>
        <w:tc>
          <w:tcPr>
            <w:tcW w:w="886" w:type="dxa"/>
            <w:vAlign w:val="center"/>
          </w:tcPr>
          <w:p>
            <w:pPr>
              <w:tabs>
                <w:tab w:val="left" w:pos="1800"/>
              </w:tabs>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w:t>
            </w:r>
          </w:p>
        </w:tc>
        <w:tc>
          <w:tcPr>
            <w:tcW w:w="895" w:type="dxa"/>
            <w:vAlign w:val="center"/>
          </w:tcPr>
          <w:p>
            <w:pPr>
              <w:tabs>
                <w:tab w:val="left" w:pos="1800"/>
              </w:tabs>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5</w:t>
            </w:r>
          </w:p>
        </w:tc>
        <w:tc>
          <w:tcPr>
            <w:tcW w:w="1175" w:type="dxa"/>
            <w:vAlign w:val="center"/>
          </w:tcPr>
          <w:p>
            <w:pPr>
              <w:tabs>
                <w:tab w:val="left" w:pos="1800"/>
              </w:tabs>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6</w:t>
            </w:r>
          </w:p>
        </w:tc>
        <w:tc>
          <w:tcPr>
            <w:tcW w:w="1261" w:type="dxa"/>
            <w:vAlign w:val="center"/>
          </w:tcPr>
          <w:p>
            <w:pPr>
              <w:tabs>
                <w:tab w:val="left" w:pos="1800"/>
              </w:tabs>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7</w:t>
            </w:r>
          </w:p>
        </w:tc>
        <w:tc>
          <w:tcPr>
            <w:tcW w:w="1603" w:type="dxa"/>
            <w:vAlign w:val="center"/>
          </w:tcPr>
          <w:p>
            <w:pPr>
              <w:tabs>
                <w:tab w:val="left" w:pos="1800"/>
              </w:tabs>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8</w:t>
            </w:r>
          </w:p>
        </w:tc>
        <w:tc>
          <w:tcPr>
            <w:tcW w:w="1476" w:type="dxa"/>
            <w:vAlign w:val="center"/>
          </w:tcPr>
          <w:p>
            <w:pPr>
              <w:tabs>
                <w:tab w:val="left" w:pos="1800"/>
              </w:tabs>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9</w:t>
            </w:r>
          </w:p>
        </w:tc>
        <w:tc>
          <w:tcPr>
            <w:tcW w:w="989" w:type="dxa"/>
            <w:vAlign w:val="center"/>
          </w:tcPr>
          <w:p>
            <w:pPr>
              <w:tabs>
                <w:tab w:val="left" w:pos="1800"/>
              </w:tabs>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10</w:t>
            </w:r>
          </w:p>
        </w:tc>
        <w:tc>
          <w:tcPr>
            <w:tcW w:w="1400" w:type="dxa"/>
            <w:vAlign w:val="center"/>
          </w:tcPr>
          <w:p>
            <w:pPr>
              <w:tabs>
                <w:tab w:val="left" w:pos="1800"/>
              </w:tabs>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11</w:t>
            </w:r>
          </w:p>
        </w:tc>
        <w:tc>
          <w:tcPr>
            <w:tcW w:w="765" w:type="dxa"/>
            <w:vAlign w:val="center"/>
          </w:tcPr>
          <w:p>
            <w:pPr>
              <w:tabs>
                <w:tab w:val="left" w:pos="1800"/>
              </w:tabs>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12</w:t>
            </w:r>
          </w:p>
        </w:tc>
        <w:tc>
          <w:tcPr>
            <w:tcW w:w="1057" w:type="dxa"/>
            <w:vAlign w:val="center"/>
          </w:tcPr>
          <w:p>
            <w:pPr>
              <w:tabs>
                <w:tab w:val="left" w:pos="1800"/>
              </w:tabs>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77" w:hRule="atLeast"/>
          <w:jc w:val="center"/>
        </w:trPr>
        <w:tc>
          <w:tcPr>
            <w:tcW w:w="463" w:type="dxa"/>
            <w:vAlign w:val="center"/>
          </w:tcPr>
          <w:p>
            <w:pPr>
              <w:tabs>
                <w:tab w:val="left" w:pos="1800"/>
              </w:tabs>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项号</w:t>
            </w:r>
          </w:p>
        </w:tc>
        <w:tc>
          <w:tcPr>
            <w:tcW w:w="1834" w:type="dxa"/>
            <w:vAlign w:val="center"/>
          </w:tcPr>
          <w:p>
            <w:pPr>
              <w:tabs>
                <w:tab w:val="left" w:pos="1800"/>
              </w:tabs>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货物名称</w:t>
            </w:r>
          </w:p>
          <w:p>
            <w:pPr>
              <w:tabs>
                <w:tab w:val="left" w:pos="1800"/>
              </w:tabs>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型号规格</w:t>
            </w:r>
          </w:p>
        </w:tc>
        <w:tc>
          <w:tcPr>
            <w:tcW w:w="960" w:type="dxa"/>
            <w:vAlign w:val="center"/>
          </w:tcPr>
          <w:p>
            <w:pPr>
              <w:tabs>
                <w:tab w:val="left" w:pos="1800"/>
              </w:tabs>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产地</w:t>
            </w:r>
          </w:p>
          <w:p>
            <w:pPr>
              <w:tabs>
                <w:tab w:val="left" w:pos="1800"/>
              </w:tabs>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(品牌)</w:t>
            </w:r>
          </w:p>
        </w:tc>
        <w:tc>
          <w:tcPr>
            <w:tcW w:w="886" w:type="dxa"/>
            <w:vAlign w:val="center"/>
          </w:tcPr>
          <w:p>
            <w:pPr>
              <w:tabs>
                <w:tab w:val="left" w:pos="1800"/>
              </w:tabs>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单位</w:t>
            </w:r>
          </w:p>
        </w:tc>
        <w:tc>
          <w:tcPr>
            <w:tcW w:w="895" w:type="dxa"/>
            <w:vAlign w:val="center"/>
          </w:tcPr>
          <w:p>
            <w:pPr>
              <w:tabs>
                <w:tab w:val="left" w:pos="1800"/>
              </w:tabs>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数量</w:t>
            </w:r>
          </w:p>
        </w:tc>
        <w:tc>
          <w:tcPr>
            <w:tcW w:w="1175" w:type="dxa"/>
            <w:vAlign w:val="center"/>
          </w:tcPr>
          <w:p>
            <w:pPr>
              <w:tabs>
                <w:tab w:val="left" w:pos="1800"/>
              </w:tabs>
              <w:ind w:left="0" w:leftChars="-50" w:hanging="105" w:hangingChars="44"/>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出厂单价</w:t>
            </w:r>
          </w:p>
          <w:p>
            <w:pPr>
              <w:tabs>
                <w:tab w:val="left" w:pos="1800"/>
              </w:tabs>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(含税)</w:t>
            </w:r>
          </w:p>
        </w:tc>
        <w:tc>
          <w:tcPr>
            <w:tcW w:w="1261" w:type="dxa"/>
            <w:vAlign w:val="center"/>
          </w:tcPr>
          <w:p>
            <w:pPr>
              <w:tabs>
                <w:tab w:val="left" w:pos="1800"/>
              </w:tabs>
              <w:ind w:left="1" w:leftChars="-51" w:hanging="108" w:hangingChars="45"/>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运杂、及保险费</w:t>
            </w:r>
          </w:p>
          <w:p>
            <w:pPr>
              <w:tabs>
                <w:tab w:val="left" w:pos="1800"/>
              </w:tabs>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(含税)</w:t>
            </w:r>
          </w:p>
        </w:tc>
        <w:tc>
          <w:tcPr>
            <w:tcW w:w="1603" w:type="dxa"/>
            <w:vAlign w:val="center"/>
          </w:tcPr>
          <w:p>
            <w:pPr>
              <w:tabs>
                <w:tab w:val="left" w:pos="1800"/>
              </w:tabs>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特殊工具费</w:t>
            </w:r>
          </w:p>
          <w:p>
            <w:pPr>
              <w:tabs>
                <w:tab w:val="left" w:pos="1800"/>
              </w:tabs>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备品备件费(含税)</w:t>
            </w:r>
          </w:p>
        </w:tc>
        <w:tc>
          <w:tcPr>
            <w:tcW w:w="1476" w:type="dxa"/>
            <w:vAlign w:val="center"/>
          </w:tcPr>
          <w:p>
            <w:pPr>
              <w:tabs>
                <w:tab w:val="left" w:pos="1800"/>
              </w:tabs>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相关服务费</w:t>
            </w:r>
          </w:p>
          <w:p>
            <w:pPr>
              <w:tabs>
                <w:tab w:val="left" w:pos="1800"/>
              </w:tabs>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(含税)</w:t>
            </w:r>
          </w:p>
        </w:tc>
        <w:tc>
          <w:tcPr>
            <w:tcW w:w="989" w:type="dxa"/>
            <w:vAlign w:val="center"/>
          </w:tcPr>
          <w:p>
            <w:pPr>
              <w:tabs>
                <w:tab w:val="left" w:pos="1800"/>
              </w:tabs>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其他</w:t>
            </w:r>
          </w:p>
          <w:p>
            <w:pPr>
              <w:widowControl/>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(含税)</w:t>
            </w:r>
          </w:p>
        </w:tc>
        <w:tc>
          <w:tcPr>
            <w:tcW w:w="1400" w:type="dxa"/>
            <w:vAlign w:val="center"/>
          </w:tcPr>
          <w:p>
            <w:pPr>
              <w:tabs>
                <w:tab w:val="left" w:pos="1800"/>
              </w:tabs>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综合单价</w:t>
            </w:r>
          </w:p>
          <w:p>
            <w:pPr>
              <w:tabs>
                <w:tab w:val="left" w:pos="1800"/>
              </w:tabs>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(含税) </w:t>
            </w:r>
          </w:p>
        </w:tc>
        <w:tc>
          <w:tcPr>
            <w:tcW w:w="765" w:type="dxa"/>
            <w:vAlign w:val="center"/>
          </w:tcPr>
          <w:p>
            <w:pPr>
              <w:tabs>
                <w:tab w:val="left" w:pos="1800"/>
              </w:tabs>
              <w:jc w:val="center"/>
              <w:rPr>
                <w:rFonts w:asciiTheme="minorEastAsia" w:hAnsiTheme="minorEastAsia" w:eastAsiaTheme="minorEastAsia" w:cstheme="minorEastAsia"/>
                <w:color w:val="auto"/>
                <w:sz w:val="24"/>
                <w:szCs w:val="24"/>
                <w:highlight w:val="none"/>
              </w:rPr>
            </w:pPr>
            <w:r>
              <w:rPr>
                <w:rFonts w:asciiTheme="minorEastAsia" w:hAnsiTheme="minorEastAsia" w:eastAsiaTheme="minorEastAsia" w:cstheme="minorEastAsia"/>
                <w:color w:val="auto"/>
                <w:sz w:val="24"/>
                <w:szCs w:val="24"/>
                <w:highlight w:val="none"/>
              </w:rPr>
              <w:t>总</w:t>
            </w:r>
            <w:r>
              <w:rPr>
                <w:rFonts w:hint="eastAsia" w:asciiTheme="minorEastAsia" w:hAnsiTheme="minorEastAsia" w:eastAsiaTheme="minorEastAsia" w:cstheme="minorEastAsia"/>
                <w:color w:val="auto"/>
                <w:sz w:val="24"/>
                <w:szCs w:val="24"/>
                <w:highlight w:val="none"/>
              </w:rPr>
              <w:t>价</w:t>
            </w:r>
          </w:p>
        </w:tc>
        <w:tc>
          <w:tcPr>
            <w:tcW w:w="1057" w:type="dxa"/>
            <w:vAlign w:val="center"/>
          </w:tcPr>
          <w:p>
            <w:pPr>
              <w:tabs>
                <w:tab w:val="left" w:pos="1800"/>
              </w:tabs>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6" w:hRule="atLeast"/>
          <w:jc w:val="center"/>
        </w:trPr>
        <w:tc>
          <w:tcPr>
            <w:tcW w:w="463" w:type="dxa"/>
            <w:vAlign w:val="center"/>
          </w:tcPr>
          <w:p>
            <w:pPr>
              <w:tabs>
                <w:tab w:val="left" w:pos="1800"/>
              </w:tabs>
              <w:jc w:val="center"/>
              <w:rPr>
                <w:rFonts w:asciiTheme="minorEastAsia" w:hAnsiTheme="minorEastAsia" w:eastAsiaTheme="minorEastAsia" w:cstheme="minorEastAsia"/>
                <w:color w:val="auto"/>
                <w:sz w:val="24"/>
                <w:szCs w:val="24"/>
                <w:highlight w:val="none"/>
              </w:rPr>
            </w:pPr>
          </w:p>
        </w:tc>
        <w:tc>
          <w:tcPr>
            <w:tcW w:w="1834" w:type="dxa"/>
            <w:vAlign w:val="center"/>
          </w:tcPr>
          <w:p>
            <w:pPr>
              <w:spacing w:line="360" w:lineRule="exact"/>
              <w:rPr>
                <w:rFonts w:ascii="宋体" w:hAnsi="宋体"/>
                <w:color w:val="auto"/>
                <w:szCs w:val="21"/>
                <w:highlight w:val="none"/>
              </w:rPr>
            </w:pPr>
            <w:r>
              <w:rPr>
                <w:rFonts w:asciiTheme="minorEastAsia" w:hAnsiTheme="minorEastAsia" w:eastAsiaTheme="minorEastAsia" w:cstheme="minorEastAsia"/>
                <w:color w:val="auto"/>
                <w:sz w:val="24"/>
                <w:szCs w:val="24"/>
                <w:highlight w:val="none"/>
              </w:rPr>
              <w:t>一、</w:t>
            </w:r>
            <w:r>
              <w:rPr>
                <w:rFonts w:hint="eastAsia" w:hAnsi="宋体" w:cs="宋体"/>
                <w:b/>
                <w:bCs/>
                <w:color w:val="auto"/>
                <w:szCs w:val="21"/>
                <w:highlight w:val="none"/>
              </w:rPr>
              <w:t>货物清单</w:t>
            </w:r>
          </w:p>
        </w:tc>
        <w:tc>
          <w:tcPr>
            <w:tcW w:w="960"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886" w:type="dxa"/>
            <w:vAlign w:val="center"/>
          </w:tcPr>
          <w:p>
            <w:pPr>
              <w:tabs>
                <w:tab w:val="left" w:pos="1800"/>
              </w:tabs>
              <w:jc w:val="center"/>
              <w:rPr>
                <w:rFonts w:asciiTheme="minorEastAsia" w:hAnsiTheme="minorEastAsia" w:eastAsiaTheme="minorEastAsia" w:cstheme="minorEastAsia"/>
                <w:color w:val="auto"/>
                <w:sz w:val="24"/>
                <w:szCs w:val="24"/>
                <w:highlight w:val="none"/>
              </w:rPr>
            </w:pPr>
          </w:p>
        </w:tc>
        <w:tc>
          <w:tcPr>
            <w:tcW w:w="895"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1175"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1261"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1603"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1476"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989" w:type="dxa"/>
            <w:vAlign w:val="center"/>
          </w:tcPr>
          <w:p>
            <w:pPr>
              <w:widowControl/>
              <w:jc w:val="left"/>
              <w:rPr>
                <w:rFonts w:asciiTheme="minorEastAsia" w:hAnsiTheme="minorEastAsia" w:eastAsiaTheme="minorEastAsia" w:cstheme="minorEastAsia"/>
                <w:color w:val="auto"/>
                <w:sz w:val="24"/>
                <w:szCs w:val="24"/>
                <w:highlight w:val="none"/>
              </w:rPr>
            </w:pPr>
          </w:p>
        </w:tc>
        <w:tc>
          <w:tcPr>
            <w:tcW w:w="1400"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765" w:type="dxa"/>
          </w:tcPr>
          <w:p>
            <w:pPr>
              <w:tabs>
                <w:tab w:val="left" w:pos="1800"/>
              </w:tabs>
              <w:jc w:val="left"/>
              <w:rPr>
                <w:rFonts w:asciiTheme="minorEastAsia" w:hAnsiTheme="minorEastAsia" w:eastAsiaTheme="minorEastAsia" w:cstheme="minorEastAsia"/>
                <w:color w:val="auto"/>
                <w:sz w:val="24"/>
                <w:szCs w:val="24"/>
                <w:highlight w:val="none"/>
              </w:rPr>
            </w:pPr>
          </w:p>
        </w:tc>
        <w:tc>
          <w:tcPr>
            <w:tcW w:w="1057" w:type="dxa"/>
          </w:tcPr>
          <w:p>
            <w:pPr>
              <w:tabs>
                <w:tab w:val="left" w:pos="1800"/>
              </w:tabs>
              <w:jc w:val="left"/>
              <w:rPr>
                <w:rFonts w:asciiTheme="minorEastAsia" w:hAnsiTheme="minorEastAsia" w:eastAsiaTheme="minorEastAsia" w:cstheme="minorEastAsia"/>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6" w:hRule="atLeast"/>
          <w:jc w:val="center"/>
        </w:trPr>
        <w:tc>
          <w:tcPr>
            <w:tcW w:w="463" w:type="dxa"/>
            <w:vAlign w:val="center"/>
          </w:tcPr>
          <w:p>
            <w:pPr>
              <w:tabs>
                <w:tab w:val="left" w:pos="1800"/>
              </w:tabs>
              <w:jc w:val="center"/>
              <w:rPr>
                <w:rFonts w:asciiTheme="minorEastAsia" w:hAnsiTheme="minorEastAsia" w:eastAsiaTheme="minorEastAsia" w:cstheme="minorEastAsia"/>
                <w:color w:val="auto"/>
                <w:sz w:val="24"/>
                <w:szCs w:val="24"/>
                <w:highlight w:val="none"/>
              </w:rPr>
            </w:pPr>
          </w:p>
        </w:tc>
        <w:tc>
          <w:tcPr>
            <w:tcW w:w="1834" w:type="dxa"/>
            <w:vAlign w:val="center"/>
          </w:tcPr>
          <w:p>
            <w:pPr>
              <w:tabs>
                <w:tab w:val="left" w:pos="1800"/>
              </w:tabs>
              <w:rPr>
                <w:rFonts w:asciiTheme="minorEastAsia" w:hAnsiTheme="minorEastAsia" w:eastAsiaTheme="minorEastAsia" w:cstheme="minorEastAsia"/>
                <w:color w:val="auto"/>
                <w:szCs w:val="21"/>
                <w:highlight w:val="none"/>
              </w:rPr>
            </w:pPr>
            <w:r>
              <w:rPr>
                <w:rFonts w:asciiTheme="minorEastAsia" w:hAnsiTheme="minorEastAsia" w:eastAsiaTheme="minorEastAsia" w:cstheme="minorEastAsia"/>
                <w:color w:val="auto"/>
                <w:szCs w:val="21"/>
                <w:highlight w:val="none"/>
              </w:rPr>
              <w:t>以下按清单内容填写</w:t>
            </w:r>
          </w:p>
        </w:tc>
        <w:tc>
          <w:tcPr>
            <w:tcW w:w="960"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886" w:type="dxa"/>
            <w:vAlign w:val="center"/>
          </w:tcPr>
          <w:p>
            <w:pPr>
              <w:tabs>
                <w:tab w:val="left" w:pos="1800"/>
              </w:tabs>
              <w:jc w:val="center"/>
              <w:rPr>
                <w:rFonts w:asciiTheme="minorEastAsia" w:hAnsiTheme="minorEastAsia" w:eastAsiaTheme="minorEastAsia" w:cstheme="minorEastAsia"/>
                <w:color w:val="auto"/>
                <w:sz w:val="24"/>
                <w:szCs w:val="24"/>
                <w:highlight w:val="none"/>
              </w:rPr>
            </w:pPr>
          </w:p>
        </w:tc>
        <w:tc>
          <w:tcPr>
            <w:tcW w:w="895"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1175"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1261"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1603"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1476"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989"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1400"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765" w:type="dxa"/>
          </w:tcPr>
          <w:p>
            <w:pPr>
              <w:tabs>
                <w:tab w:val="left" w:pos="1800"/>
              </w:tabs>
              <w:jc w:val="left"/>
              <w:rPr>
                <w:rFonts w:asciiTheme="minorEastAsia" w:hAnsiTheme="minorEastAsia" w:eastAsiaTheme="minorEastAsia" w:cstheme="minorEastAsia"/>
                <w:color w:val="auto"/>
                <w:sz w:val="24"/>
                <w:szCs w:val="24"/>
                <w:highlight w:val="none"/>
              </w:rPr>
            </w:pPr>
          </w:p>
        </w:tc>
        <w:tc>
          <w:tcPr>
            <w:tcW w:w="1057" w:type="dxa"/>
          </w:tcPr>
          <w:p>
            <w:pPr>
              <w:tabs>
                <w:tab w:val="left" w:pos="1800"/>
              </w:tabs>
              <w:jc w:val="left"/>
              <w:rPr>
                <w:rFonts w:asciiTheme="minorEastAsia" w:hAnsiTheme="minorEastAsia" w:eastAsiaTheme="minorEastAsia" w:cstheme="minorEastAsia"/>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6" w:hRule="atLeast"/>
          <w:jc w:val="center"/>
        </w:trPr>
        <w:tc>
          <w:tcPr>
            <w:tcW w:w="463" w:type="dxa"/>
            <w:vAlign w:val="center"/>
          </w:tcPr>
          <w:p>
            <w:pPr>
              <w:tabs>
                <w:tab w:val="left" w:pos="1800"/>
              </w:tabs>
              <w:jc w:val="center"/>
              <w:rPr>
                <w:rFonts w:asciiTheme="minorEastAsia" w:hAnsiTheme="minorEastAsia" w:eastAsiaTheme="minorEastAsia" w:cstheme="minorEastAsia"/>
                <w:color w:val="auto"/>
                <w:sz w:val="24"/>
                <w:szCs w:val="24"/>
                <w:highlight w:val="none"/>
              </w:rPr>
            </w:pPr>
          </w:p>
        </w:tc>
        <w:tc>
          <w:tcPr>
            <w:tcW w:w="1834" w:type="dxa"/>
            <w:vAlign w:val="center"/>
          </w:tcPr>
          <w:p>
            <w:pPr>
              <w:tabs>
                <w:tab w:val="left" w:pos="1800"/>
              </w:tabs>
              <w:rPr>
                <w:rFonts w:asciiTheme="minorEastAsia" w:hAnsiTheme="minorEastAsia" w:eastAsiaTheme="minorEastAsia" w:cstheme="minorEastAsia"/>
                <w:color w:val="auto"/>
                <w:sz w:val="24"/>
                <w:szCs w:val="24"/>
                <w:highlight w:val="none"/>
              </w:rPr>
            </w:pPr>
          </w:p>
        </w:tc>
        <w:tc>
          <w:tcPr>
            <w:tcW w:w="960"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886" w:type="dxa"/>
            <w:vAlign w:val="center"/>
          </w:tcPr>
          <w:p>
            <w:pPr>
              <w:tabs>
                <w:tab w:val="left" w:pos="1800"/>
              </w:tabs>
              <w:jc w:val="center"/>
              <w:rPr>
                <w:rFonts w:asciiTheme="minorEastAsia" w:hAnsiTheme="minorEastAsia" w:eastAsiaTheme="minorEastAsia" w:cstheme="minorEastAsia"/>
                <w:color w:val="auto"/>
                <w:sz w:val="24"/>
                <w:szCs w:val="24"/>
                <w:highlight w:val="none"/>
              </w:rPr>
            </w:pPr>
          </w:p>
        </w:tc>
        <w:tc>
          <w:tcPr>
            <w:tcW w:w="895"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1175"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1261"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1603"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1476"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989"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1400"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765" w:type="dxa"/>
          </w:tcPr>
          <w:p>
            <w:pPr>
              <w:tabs>
                <w:tab w:val="left" w:pos="1800"/>
              </w:tabs>
              <w:jc w:val="left"/>
              <w:rPr>
                <w:rFonts w:asciiTheme="minorEastAsia" w:hAnsiTheme="minorEastAsia" w:eastAsiaTheme="minorEastAsia" w:cstheme="minorEastAsia"/>
                <w:color w:val="auto"/>
                <w:sz w:val="24"/>
                <w:szCs w:val="24"/>
                <w:highlight w:val="none"/>
              </w:rPr>
            </w:pPr>
          </w:p>
        </w:tc>
        <w:tc>
          <w:tcPr>
            <w:tcW w:w="1057" w:type="dxa"/>
          </w:tcPr>
          <w:p>
            <w:pPr>
              <w:tabs>
                <w:tab w:val="left" w:pos="1800"/>
              </w:tabs>
              <w:jc w:val="left"/>
              <w:rPr>
                <w:rFonts w:asciiTheme="minorEastAsia" w:hAnsiTheme="minorEastAsia" w:eastAsiaTheme="minorEastAsia" w:cstheme="minorEastAsia"/>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6" w:hRule="atLeast"/>
          <w:jc w:val="center"/>
        </w:trPr>
        <w:tc>
          <w:tcPr>
            <w:tcW w:w="463" w:type="dxa"/>
            <w:vAlign w:val="center"/>
          </w:tcPr>
          <w:p>
            <w:pPr>
              <w:tabs>
                <w:tab w:val="left" w:pos="1800"/>
              </w:tabs>
              <w:jc w:val="center"/>
              <w:rPr>
                <w:rFonts w:asciiTheme="minorEastAsia" w:hAnsiTheme="minorEastAsia" w:eastAsiaTheme="minorEastAsia" w:cstheme="minorEastAsia"/>
                <w:color w:val="auto"/>
                <w:sz w:val="24"/>
                <w:szCs w:val="24"/>
                <w:highlight w:val="none"/>
              </w:rPr>
            </w:pPr>
          </w:p>
        </w:tc>
        <w:tc>
          <w:tcPr>
            <w:tcW w:w="1834" w:type="dxa"/>
            <w:vAlign w:val="center"/>
          </w:tcPr>
          <w:p>
            <w:pPr>
              <w:tabs>
                <w:tab w:val="left" w:pos="1800"/>
              </w:tabs>
              <w:rPr>
                <w:rFonts w:asciiTheme="minorEastAsia" w:hAnsiTheme="minorEastAsia" w:eastAsiaTheme="minorEastAsia" w:cstheme="minorEastAsia"/>
                <w:color w:val="auto"/>
                <w:sz w:val="24"/>
                <w:szCs w:val="24"/>
                <w:highlight w:val="none"/>
              </w:rPr>
            </w:pPr>
            <w:r>
              <w:rPr>
                <w:rFonts w:hint="eastAsia" w:hAnsi="宋体" w:cs="宋体"/>
                <w:b/>
                <w:bCs/>
                <w:color w:val="auto"/>
                <w:szCs w:val="21"/>
                <w:highlight w:val="none"/>
              </w:rPr>
              <w:t>二</w:t>
            </w:r>
            <w:r>
              <w:rPr>
                <w:rFonts w:hAnsi="宋体" w:cs="宋体"/>
                <w:b/>
                <w:bCs/>
                <w:color w:val="auto"/>
                <w:szCs w:val="21"/>
                <w:highlight w:val="none"/>
              </w:rPr>
              <w:t>、其他清单</w:t>
            </w:r>
          </w:p>
        </w:tc>
        <w:tc>
          <w:tcPr>
            <w:tcW w:w="960"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886" w:type="dxa"/>
            <w:vAlign w:val="center"/>
          </w:tcPr>
          <w:p>
            <w:pPr>
              <w:tabs>
                <w:tab w:val="left" w:pos="1800"/>
              </w:tabs>
              <w:jc w:val="center"/>
              <w:rPr>
                <w:rFonts w:asciiTheme="minorEastAsia" w:hAnsiTheme="minorEastAsia" w:eastAsiaTheme="minorEastAsia" w:cstheme="minorEastAsia"/>
                <w:color w:val="auto"/>
                <w:sz w:val="24"/>
                <w:szCs w:val="24"/>
                <w:highlight w:val="none"/>
              </w:rPr>
            </w:pPr>
          </w:p>
        </w:tc>
        <w:tc>
          <w:tcPr>
            <w:tcW w:w="895"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1175"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1261"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1603"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1476"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989"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1400"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765" w:type="dxa"/>
          </w:tcPr>
          <w:p>
            <w:pPr>
              <w:tabs>
                <w:tab w:val="left" w:pos="1800"/>
              </w:tabs>
              <w:jc w:val="left"/>
              <w:rPr>
                <w:rFonts w:asciiTheme="minorEastAsia" w:hAnsiTheme="minorEastAsia" w:eastAsiaTheme="minorEastAsia" w:cstheme="minorEastAsia"/>
                <w:color w:val="auto"/>
                <w:sz w:val="24"/>
                <w:szCs w:val="24"/>
                <w:highlight w:val="none"/>
              </w:rPr>
            </w:pPr>
          </w:p>
        </w:tc>
        <w:tc>
          <w:tcPr>
            <w:tcW w:w="1057" w:type="dxa"/>
          </w:tcPr>
          <w:p>
            <w:pPr>
              <w:tabs>
                <w:tab w:val="left" w:pos="1800"/>
              </w:tabs>
              <w:jc w:val="left"/>
              <w:rPr>
                <w:rFonts w:asciiTheme="minorEastAsia" w:hAnsiTheme="minorEastAsia" w:eastAsiaTheme="minorEastAsia" w:cstheme="minorEastAsia"/>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94" w:hRule="atLeast"/>
          <w:jc w:val="center"/>
        </w:trPr>
        <w:tc>
          <w:tcPr>
            <w:tcW w:w="463" w:type="dxa"/>
            <w:vAlign w:val="center"/>
          </w:tcPr>
          <w:p>
            <w:pPr>
              <w:tabs>
                <w:tab w:val="left" w:pos="1800"/>
              </w:tabs>
              <w:jc w:val="center"/>
              <w:rPr>
                <w:rFonts w:asciiTheme="minorEastAsia" w:hAnsiTheme="minorEastAsia" w:eastAsiaTheme="minorEastAsia" w:cstheme="minorEastAsia"/>
                <w:color w:val="auto"/>
                <w:sz w:val="24"/>
                <w:szCs w:val="24"/>
                <w:highlight w:val="none"/>
              </w:rPr>
            </w:pPr>
          </w:p>
        </w:tc>
        <w:tc>
          <w:tcPr>
            <w:tcW w:w="1834" w:type="dxa"/>
            <w:vAlign w:val="center"/>
          </w:tcPr>
          <w:p>
            <w:pPr>
              <w:tabs>
                <w:tab w:val="left" w:pos="1800"/>
              </w:tabs>
              <w:rPr>
                <w:rFonts w:asciiTheme="minorEastAsia" w:hAnsiTheme="minorEastAsia" w:eastAsiaTheme="minorEastAsia" w:cstheme="minorEastAsia"/>
                <w:color w:val="auto"/>
                <w:szCs w:val="21"/>
                <w:highlight w:val="none"/>
              </w:rPr>
            </w:pPr>
            <w:r>
              <w:rPr>
                <w:rFonts w:asciiTheme="minorEastAsia" w:hAnsiTheme="minorEastAsia" w:eastAsiaTheme="minorEastAsia" w:cstheme="minorEastAsia"/>
                <w:color w:val="auto"/>
                <w:szCs w:val="21"/>
                <w:highlight w:val="none"/>
              </w:rPr>
              <w:t>以下内容由投标单位自行填写</w:t>
            </w:r>
          </w:p>
        </w:tc>
        <w:tc>
          <w:tcPr>
            <w:tcW w:w="960"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886" w:type="dxa"/>
            <w:vAlign w:val="center"/>
          </w:tcPr>
          <w:p>
            <w:pPr>
              <w:tabs>
                <w:tab w:val="left" w:pos="1800"/>
              </w:tabs>
              <w:jc w:val="center"/>
              <w:rPr>
                <w:rFonts w:asciiTheme="minorEastAsia" w:hAnsiTheme="minorEastAsia" w:eastAsiaTheme="minorEastAsia" w:cstheme="minorEastAsia"/>
                <w:color w:val="auto"/>
                <w:sz w:val="24"/>
                <w:szCs w:val="24"/>
                <w:highlight w:val="none"/>
              </w:rPr>
            </w:pPr>
          </w:p>
        </w:tc>
        <w:tc>
          <w:tcPr>
            <w:tcW w:w="895"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1175"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1261"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1603"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1476"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989"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1400"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765" w:type="dxa"/>
          </w:tcPr>
          <w:p>
            <w:pPr>
              <w:tabs>
                <w:tab w:val="left" w:pos="1800"/>
              </w:tabs>
              <w:jc w:val="left"/>
              <w:rPr>
                <w:rFonts w:asciiTheme="minorEastAsia" w:hAnsiTheme="minorEastAsia" w:eastAsiaTheme="minorEastAsia" w:cstheme="minorEastAsia"/>
                <w:color w:val="auto"/>
                <w:sz w:val="24"/>
                <w:szCs w:val="24"/>
                <w:highlight w:val="none"/>
              </w:rPr>
            </w:pPr>
          </w:p>
        </w:tc>
        <w:tc>
          <w:tcPr>
            <w:tcW w:w="1057" w:type="dxa"/>
          </w:tcPr>
          <w:p>
            <w:pPr>
              <w:tabs>
                <w:tab w:val="left" w:pos="1800"/>
              </w:tabs>
              <w:jc w:val="left"/>
              <w:rPr>
                <w:rFonts w:asciiTheme="minorEastAsia" w:hAnsiTheme="minorEastAsia" w:eastAsiaTheme="minorEastAsia" w:cstheme="minorEastAsia"/>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94" w:hRule="atLeast"/>
          <w:jc w:val="center"/>
        </w:trPr>
        <w:tc>
          <w:tcPr>
            <w:tcW w:w="463" w:type="dxa"/>
            <w:vAlign w:val="center"/>
          </w:tcPr>
          <w:p>
            <w:pPr>
              <w:tabs>
                <w:tab w:val="left" w:pos="1800"/>
              </w:tabs>
              <w:jc w:val="center"/>
              <w:rPr>
                <w:rFonts w:asciiTheme="minorEastAsia" w:hAnsiTheme="minorEastAsia" w:eastAsiaTheme="minorEastAsia" w:cstheme="minorEastAsia"/>
                <w:color w:val="auto"/>
                <w:sz w:val="24"/>
                <w:szCs w:val="24"/>
                <w:highlight w:val="none"/>
              </w:rPr>
            </w:pPr>
          </w:p>
        </w:tc>
        <w:tc>
          <w:tcPr>
            <w:tcW w:w="1834" w:type="dxa"/>
            <w:vAlign w:val="center"/>
          </w:tcPr>
          <w:p>
            <w:pPr>
              <w:tabs>
                <w:tab w:val="left" w:pos="1800"/>
              </w:tabs>
              <w:rPr>
                <w:rFonts w:asciiTheme="minorEastAsia" w:hAnsiTheme="minorEastAsia" w:eastAsiaTheme="minorEastAsia" w:cstheme="minorEastAsia"/>
                <w:color w:val="auto"/>
                <w:szCs w:val="21"/>
                <w:highlight w:val="none"/>
              </w:rPr>
            </w:pPr>
          </w:p>
        </w:tc>
        <w:tc>
          <w:tcPr>
            <w:tcW w:w="960"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886" w:type="dxa"/>
            <w:vAlign w:val="center"/>
          </w:tcPr>
          <w:p>
            <w:pPr>
              <w:tabs>
                <w:tab w:val="left" w:pos="1800"/>
              </w:tabs>
              <w:jc w:val="center"/>
              <w:rPr>
                <w:rFonts w:asciiTheme="minorEastAsia" w:hAnsiTheme="minorEastAsia" w:eastAsiaTheme="minorEastAsia" w:cstheme="minorEastAsia"/>
                <w:color w:val="auto"/>
                <w:sz w:val="24"/>
                <w:szCs w:val="24"/>
                <w:highlight w:val="none"/>
              </w:rPr>
            </w:pPr>
          </w:p>
        </w:tc>
        <w:tc>
          <w:tcPr>
            <w:tcW w:w="895"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1175"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1261"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1603"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1476"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989"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1400"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765" w:type="dxa"/>
          </w:tcPr>
          <w:p>
            <w:pPr>
              <w:tabs>
                <w:tab w:val="left" w:pos="1800"/>
              </w:tabs>
              <w:jc w:val="left"/>
              <w:rPr>
                <w:rFonts w:asciiTheme="minorEastAsia" w:hAnsiTheme="minorEastAsia" w:eastAsiaTheme="minorEastAsia" w:cstheme="minorEastAsia"/>
                <w:color w:val="auto"/>
                <w:sz w:val="24"/>
                <w:szCs w:val="24"/>
                <w:highlight w:val="none"/>
              </w:rPr>
            </w:pPr>
          </w:p>
        </w:tc>
        <w:tc>
          <w:tcPr>
            <w:tcW w:w="1057" w:type="dxa"/>
          </w:tcPr>
          <w:p>
            <w:pPr>
              <w:tabs>
                <w:tab w:val="left" w:pos="1800"/>
              </w:tabs>
              <w:jc w:val="left"/>
              <w:rPr>
                <w:rFonts w:asciiTheme="minorEastAsia" w:hAnsiTheme="minorEastAsia" w:eastAsiaTheme="minorEastAsia" w:cstheme="minorEastAsia"/>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94" w:hRule="atLeast"/>
          <w:jc w:val="center"/>
        </w:trPr>
        <w:tc>
          <w:tcPr>
            <w:tcW w:w="463" w:type="dxa"/>
            <w:vAlign w:val="center"/>
          </w:tcPr>
          <w:p>
            <w:pPr>
              <w:tabs>
                <w:tab w:val="left" w:pos="1800"/>
              </w:tabs>
              <w:jc w:val="center"/>
              <w:rPr>
                <w:rFonts w:asciiTheme="minorEastAsia" w:hAnsiTheme="minorEastAsia" w:eastAsiaTheme="minorEastAsia" w:cstheme="minorEastAsia"/>
                <w:color w:val="auto"/>
                <w:sz w:val="24"/>
                <w:szCs w:val="24"/>
                <w:highlight w:val="none"/>
              </w:rPr>
            </w:pPr>
          </w:p>
        </w:tc>
        <w:tc>
          <w:tcPr>
            <w:tcW w:w="1834" w:type="dxa"/>
            <w:vAlign w:val="center"/>
          </w:tcPr>
          <w:p>
            <w:pPr>
              <w:tabs>
                <w:tab w:val="left" w:pos="1800"/>
              </w:tabs>
              <w:rPr>
                <w:rFonts w:asciiTheme="minorEastAsia" w:hAnsiTheme="minorEastAsia" w:eastAsiaTheme="minorEastAsia" w:cstheme="minorEastAsia"/>
                <w:b/>
                <w:color w:val="auto"/>
                <w:szCs w:val="21"/>
                <w:highlight w:val="none"/>
              </w:rPr>
            </w:pPr>
            <w:r>
              <w:rPr>
                <w:rStyle w:val="40"/>
                <w:rFonts w:ascii="宋体" w:hAnsi="宋体" w:cs="宋体"/>
                <w:color w:val="auto"/>
                <w:sz w:val="20"/>
                <w:szCs w:val="20"/>
                <w:highlight w:val="none"/>
              </w:rPr>
              <w:t>3</w:t>
            </w:r>
            <w:r>
              <w:rPr>
                <w:rStyle w:val="40"/>
                <w:rFonts w:hint="eastAsia" w:ascii="宋体" w:hAnsi="宋体" w:cs="宋体"/>
                <w:color w:val="auto"/>
                <w:sz w:val="20"/>
                <w:szCs w:val="20"/>
                <w:highlight w:val="none"/>
              </w:rPr>
              <w:t>年质保期内驻场人员费用</w:t>
            </w:r>
          </w:p>
        </w:tc>
        <w:tc>
          <w:tcPr>
            <w:tcW w:w="10645" w:type="dxa"/>
            <w:gridSpan w:val="9"/>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765"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1057"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94" w:hRule="atLeast"/>
          <w:jc w:val="center"/>
        </w:trPr>
        <w:tc>
          <w:tcPr>
            <w:tcW w:w="463" w:type="dxa"/>
            <w:vAlign w:val="center"/>
          </w:tcPr>
          <w:p>
            <w:pPr>
              <w:tabs>
                <w:tab w:val="left" w:pos="1800"/>
              </w:tabs>
              <w:jc w:val="center"/>
              <w:rPr>
                <w:rFonts w:asciiTheme="minorEastAsia" w:hAnsiTheme="minorEastAsia" w:eastAsiaTheme="minorEastAsia" w:cstheme="minorEastAsia"/>
                <w:color w:val="auto"/>
                <w:sz w:val="24"/>
                <w:szCs w:val="24"/>
                <w:highlight w:val="none"/>
              </w:rPr>
            </w:pPr>
          </w:p>
        </w:tc>
        <w:tc>
          <w:tcPr>
            <w:tcW w:w="1834" w:type="dxa"/>
            <w:vAlign w:val="center"/>
          </w:tcPr>
          <w:p>
            <w:pPr>
              <w:tabs>
                <w:tab w:val="left" w:pos="1800"/>
              </w:tabs>
              <w:rPr>
                <w:rFonts w:asciiTheme="minorEastAsia" w:hAnsiTheme="minorEastAsia" w:eastAsiaTheme="minorEastAsia" w:cstheme="minorEastAsia"/>
                <w:b/>
                <w:color w:val="auto"/>
                <w:szCs w:val="21"/>
                <w:highlight w:val="none"/>
              </w:rPr>
            </w:pPr>
            <w:r>
              <w:rPr>
                <w:rStyle w:val="40"/>
                <w:rFonts w:hint="eastAsia" w:ascii="宋体" w:hAnsi="宋体" w:cs="宋体"/>
                <w:color w:val="auto"/>
                <w:sz w:val="20"/>
                <w:szCs w:val="20"/>
                <w:highlight w:val="none"/>
              </w:rPr>
              <w:t>质保优惠期内驻场人员费用</w:t>
            </w:r>
          </w:p>
        </w:tc>
        <w:tc>
          <w:tcPr>
            <w:tcW w:w="10645" w:type="dxa"/>
            <w:gridSpan w:val="9"/>
            <w:vAlign w:val="center"/>
          </w:tcPr>
          <w:p>
            <w:pPr>
              <w:tabs>
                <w:tab w:val="left" w:pos="1800"/>
              </w:tabs>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优惠期</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年×</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人</w:t>
            </w:r>
          </w:p>
        </w:tc>
        <w:tc>
          <w:tcPr>
            <w:tcW w:w="765" w:type="dxa"/>
          </w:tcPr>
          <w:p>
            <w:pPr>
              <w:tabs>
                <w:tab w:val="left" w:pos="1800"/>
              </w:tabs>
              <w:jc w:val="left"/>
              <w:rPr>
                <w:rFonts w:asciiTheme="minorEastAsia" w:hAnsiTheme="minorEastAsia" w:eastAsiaTheme="minorEastAsia" w:cstheme="minorEastAsia"/>
                <w:color w:val="auto"/>
                <w:sz w:val="24"/>
                <w:szCs w:val="24"/>
                <w:highlight w:val="none"/>
              </w:rPr>
            </w:pPr>
          </w:p>
        </w:tc>
        <w:tc>
          <w:tcPr>
            <w:tcW w:w="1057" w:type="dxa"/>
          </w:tcPr>
          <w:p>
            <w:pPr>
              <w:tabs>
                <w:tab w:val="left" w:pos="1800"/>
              </w:tabs>
              <w:jc w:val="left"/>
              <w:rPr>
                <w:rFonts w:asciiTheme="minorEastAsia" w:hAnsiTheme="minorEastAsia" w:eastAsiaTheme="minorEastAsia" w:cstheme="minorEastAsia"/>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94" w:hRule="atLeast"/>
          <w:jc w:val="center"/>
        </w:trPr>
        <w:tc>
          <w:tcPr>
            <w:tcW w:w="463" w:type="dxa"/>
            <w:vAlign w:val="center"/>
          </w:tcPr>
          <w:p>
            <w:pPr>
              <w:tabs>
                <w:tab w:val="left" w:pos="1800"/>
              </w:tabs>
              <w:jc w:val="center"/>
              <w:rPr>
                <w:rFonts w:asciiTheme="minorEastAsia" w:hAnsiTheme="minorEastAsia" w:eastAsiaTheme="minorEastAsia" w:cstheme="minorEastAsia"/>
                <w:color w:val="auto"/>
                <w:sz w:val="24"/>
                <w:szCs w:val="24"/>
                <w:highlight w:val="none"/>
              </w:rPr>
            </w:pPr>
          </w:p>
        </w:tc>
        <w:tc>
          <w:tcPr>
            <w:tcW w:w="1834" w:type="dxa"/>
            <w:vAlign w:val="center"/>
          </w:tcPr>
          <w:p>
            <w:pPr>
              <w:tabs>
                <w:tab w:val="left" w:pos="1800"/>
              </w:tabs>
              <w:rPr>
                <w:rStyle w:val="40"/>
                <w:rFonts w:ascii="宋体" w:hAnsi="宋体" w:cs="宋体"/>
                <w:color w:val="auto"/>
                <w:sz w:val="20"/>
                <w:szCs w:val="20"/>
                <w:highlight w:val="none"/>
              </w:rPr>
            </w:pPr>
          </w:p>
        </w:tc>
        <w:tc>
          <w:tcPr>
            <w:tcW w:w="10645" w:type="dxa"/>
            <w:gridSpan w:val="9"/>
            <w:vAlign w:val="center"/>
          </w:tcPr>
          <w:p>
            <w:pPr>
              <w:tabs>
                <w:tab w:val="left" w:pos="1800"/>
              </w:tabs>
              <w:jc w:val="center"/>
              <w:rPr>
                <w:rFonts w:asciiTheme="minorEastAsia" w:hAnsiTheme="minorEastAsia" w:eastAsiaTheme="minorEastAsia" w:cstheme="minorEastAsia"/>
                <w:color w:val="auto"/>
                <w:sz w:val="24"/>
                <w:szCs w:val="24"/>
                <w:highlight w:val="none"/>
              </w:rPr>
            </w:pPr>
          </w:p>
        </w:tc>
        <w:tc>
          <w:tcPr>
            <w:tcW w:w="765" w:type="dxa"/>
          </w:tcPr>
          <w:p>
            <w:pPr>
              <w:tabs>
                <w:tab w:val="left" w:pos="1800"/>
              </w:tabs>
              <w:jc w:val="left"/>
              <w:rPr>
                <w:rFonts w:asciiTheme="minorEastAsia" w:hAnsiTheme="minorEastAsia" w:eastAsiaTheme="minorEastAsia" w:cstheme="minorEastAsia"/>
                <w:color w:val="auto"/>
                <w:sz w:val="24"/>
                <w:szCs w:val="24"/>
                <w:highlight w:val="none"/>
              </w:rPr>
            </w:pPr>
          </w:p>
        </w:tc>
        <w:tc>
          <w:tcPr>
            <w:tcW w:w="1057" w:type="dxa"/>
          </w:tcPr>
          <w:p>
            <w:pPr>
              <w:tabs>
                <w:tab w:val="left" w:pos="1800"/>
              </w:tabs>
              <w:jc w:val="left"/>
              <w:rPr>
                <w:rFonts w:asciiTheme="minorEastAsia" w:hAnsiTheme="minorEastAsia" w:eastAsiaTheme="minorEastAsia" w:cstheme="minorEastAsia"/>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91" w:hRule="atLeast"/>
          <w:jc w:val="center"/>
        </w:trPr>
        <w:tc>
          <w:tcPr>
            <w:tcW w:w="3257" w:type="dxa"/>
            <w:gridSpan w:val="3"/>
            <w:vAlign w:val="center"/>
          </w:tcPr>
          <w:p>
            <w:pPr>
              <w:tabs>
                <w:tab w:val="left" w:pos="1800"/>
              </w:tabs>
              <w:jc w:val="left"/>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投标总价合计</w:t>
            </w:r>
          </w:p>
        </w:tc>
        <w:tc>
          <w:tcPr>
            <w:tcW w:w="11507" w:type="dxa"/>
            <w:gridSpan w:val="10"/>
            <w:vAlign w:val="center"/>
          </w:tcPr>
          <w:p>
            <w:pPr>
              <w:tabs>
                <w:tab w:val="left" w:pos="1800"/>
              </w:tabs>
              <w:spacing w:line="360" w:lineRule="auto"/>
              <w:jc w:val="left"/>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小写：</w:t>
            </w:r>
            <w:r>
              <w:rPr>
                <w:rFonts w:hint="eastAsia" w:asciiTheme="minorEastAsia" w:hAnsiTheme="minorEastAsia" w:eastAsiaTheme="minorEastAsia" w:cstheme="minorEastAsia"/>
                <w:color w:val="auto"/>
                <w:sz w:val="20"/>
                <w:szCs w:val="20"/>
                <w:highlight w:val="none"/>
                <w:u w:val="single"/>
              </w:rPr>
              <w:t xml:space="preserve">                     </w:t>
            </w:r>
            <w:r>
              <w:rPr>
                <w:rFonts w:hint="eastAsia" w:asciiTheme="minorEastAsia" w:hAnsiTheme="minorEastAsia" w:eastAsiaTheme="minorEastAsia" w:cstheme="minorEastAsia"/>
                <w:b/>
                <w:color w:val="auto"/>
                <w:sz w:val="24"/>
                <w:szCs w:val="24"/>
                <w:highlight w:val="none"/>
              </w:rPr>
              <w:t>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54" w:hRule="atLeast"/>
          <w:jc w:val="center"/>
        </w:trPr>
        <w:tc>
          <w:tcPr>
            <w:tcW w:w="3257" w:type="dxa"/>
            <w:gridSpan w:val="3"/>
            <w:vAlign w:val="center"/>
          </w:tcPr>
          <w:p>
            <w:pPr>
              <w:tabs>
                <w:tab w:val="left" w:pos="1800"/>
              </w:tabs>
              <w:jc w:val="left"/>
              <w:rPr>
                <w:rFonts w:asciiTheme="minorEastAsia" w:hAnsiTheme="minorEastAsia" w:eastAsiaTheme="minorEastAsia" w:cstheme="minorEastAsia"/>
                <w:b/>
                <w:strike/>
                <w:color w:val="auto"/>
                <w:sz w:val="24"/>
                <w:szCs w:val="24"/>
                <w:highlight w:val="none"/>
                <w:u w:val="single"/>
              </w:rPr>
            </w:pPr>
            <w:r>
              <w:rPr>
                <w:rFonts w:hint="eastAsia" w:asciiTheme="minorEastAsia" w:hAnsiTheme="minorEastAsia" w:eastAsiaTheme="minorEastAsia" w:cstheme="minorEastAsia"/>
                <w:strike/>
                <w:color w:val="auto"/>
                <w:sz w:val="24"/>
                <w:szCs w:val="24"/>
                <w:highlight w:val="none"/>
              </w:rPr>
              <w:t>□</w:t>
            </w:r>
            <w:r>
              <w:rPr>
                <w:rFonts w:hint="eastAsia" w:asciiTheme="minorEastAsia" w:hAnsiTheme="minorEastAsia" w:eastAsiaTheme="minorEastAsia" w:cstheme="minorEastAsia"/>
                <w:b/>
                <w:strike/>
                <w:color w:val="auto"/>
                <w:sz w:val="24"/>
                <w:szCs w:val="24"/>
                <w:highlight w:val="none"/>
              </w:rPr>
              <w:t>质保期后的维保费用</w:t>
            </w:r>
          </w:p>
        </w:tc>
        <w:tc>
          <w:tcPr>
            <w:tcW w:w="11507" w:type="dxa"/>
            <w:gridSpan w:val="10"/>
            <w:vAlign w:val="center"/>
          </w:tcPr>
          <w:p>
            <w:pPr>
              <w:tabs>
                <w:tab w:val="left" w:pos="1800"/>
              </w:tabs>
              <w:jc w:val="left"/>
              <w:rPr>
                <w:rFonts w:asciiTheme="minorEastAsia" w:hAnsiTheme="minorEastAsia" w:eastAsiaTheme="minorEastAsia" w:cstheme="minorEastAsia"/>
                <w:b/>
                <w:strike/>
                <w:color w:val="auto"/>
                <w:sz w:val="24"/>
                <w:szCs w:val="24"/>
                <w:highlight w:val="none"/>
              </w:rPr>
            </w:pPr>
            <w:r>
              <w:rPr>
                <w:rFonts w:hint="eastAsia" w:asciiTheme="minorEastAsia" w:hAnsiTheme="minorEastAsia" w:eastAsiaTheme="minorEastAsia" w:cstheme="minorEastAsia"/>
                <w:strike/>
                <w:color w:val="auto"/>
                <w:sz w:val="20"/>
                <w:szCs w:val="20"/>
                <w:highlight w:val="none"/>
                <w:u w:val="single"/>
              </w:rPr>
              <w:t xml:space="preserve">                     </w:t>
            </w:r>
            <w:r>
              <w:rPr>
                <w:rFonts w:hint="eastAsia" w:asciiTheme="minorEastAsia" w:hAnsiTheme="minorEastAsia" w:eastAsiaTheme="minorEastAsia" w:cstheme="minorEastAsia"/>
                <w:b/>
                <w:strike/>
                <w:color w:val="auto"/>
                <w:sz w:val="24"/>
                <w:szCs w:val="24"/>
                <w:highlight w:val="none"/>
              </w:rPr>
              <w:t>元/年（不计入投标报价）</w:t>
            </w:r>
          </w:p>
        </w:tc>
      </w:tr>
    </w:tbl>
    <w:p>
      <w:pPr>
        <w:keepNext/>
        <w:keepLines/>
        <w:spacing w:line="360" w:lineRule="atLeast"/>
        <w:jc w:val="left"/>
        <w:rPr>
          <w:rFonts w:ascii="宋体" w:hAnsi="宋体"/>
          <w:color w:val="auto"/>
          <w:sz w:val="20"/>
          <w:szCs w:val="20"/>
          <w:highlight w:val="none"/>
        </w:rPr>
      </w:pPr>
      <w:r>
        <w:rPr>
          <w:rFonts w:hint="eastAsia" w:asciiTheme="minorEastAsia" w:hAnsiTheme="minorEastAsia" w:eastAsiaTheme="minorEastAsia" w:cstheme="minorEastAsia"/>
          <w:color w:val="auto"/>
          <w:sz w:val="24"/>
          <w:szCs w:val="24"/>
          <w:highlight w:val="none"/>
        </w:rPr>
        <w:t>注：</w:t>
      </w:r>
      <w:r>
        <w:rPr>
          <w:rFonts w:hint="eastAsia" w:asciiTheme="minorEastAsia" w:hAnsiTheme="minorEastAsia" w:eastAsiaTheme="minorEastAsia" w:cstheme="minorEastAsia"/>
          <w:color w:val="auto"/>
          <w:sz w:val="20"/>
          <w:szCs w:val="20"/>
          <w:highlight w:val="none"/>
        </w:rPr>
        <w:t>1、</w:t>
      </w:r>
      <w:r>
        <w:rPr>
          <w:rFonts w:hint="eastAsia" w:ascii="宋体" w:hAnsi="宋体"/>
          <w:color w:val="auto"/>
          <w:sz w:val="20"/>
          <w:szCs w:val="20"/>
          <w:highlight w:val="none"/>
        </w:rPr>
        <w:t>第7栏指制造厂运至交货地点全部货物运杂费和保险费，第10栏其它费用包括投标分项报价表中除本表6-9外的所有费用。</w:t>
      </w:r>
    </w:p>
    <w:p>
      <w:pPr>
        <w:pStyle w:val="74"/>
        <w:spacing w:line="360" w:lineRule="exact"/>
        <w:ind w:firstLine="400"/>
        <w:rPr>
          <w:rFonts w:ascii="宋体" w:hAnsi="宋体"/>
          <w:color w:val="auto"/>
          <w:sz w:val="20"/>
          <w:szCs w:val="20"/>
          <w:highlight w:val="none"/>
          <w:lang w:val="en-US"/>
        </w:rPr>
      </w:pPr>
      <w:r>
        <w:rPr>
          <w:rFonts w:ascii="宋体" w:hAnsi="宋体"/>
          <w:color w:val="auto"/>
          <w:sz w:val="20"/>
          <w:szCs w:val="20"/>
          <w:highlight w:val="none"/>
          <w:lang w:val="en-US"/>
        </w:rPr>
        <w:t>2</w:t>
      </w:r>
      <w:r>
        <w:rPr>
          <w:rFonts w:hint="eastAsia" w:ascii="宋体" w:hAnsi="宋体"/>
          <w:color w:val="auto"/>
          <w:sz w:val="20"/>
          <w:szCs w:val="20"/>
          <w:highlight w:val="none"/>
          <w:lang w:val="en-US"/>
        </w:rPr>
        <w:t>、第11栏综合单价=6+7+8+9</w:t>
      </w:r>
      <w:r>
        <w:rPr>
          <w:rFonts w:ascii="宋体" w:hAnsi="宋体"/>
          <w:color w:val="auto"/>
          <w:sz w:val="20"/>
          <w:szCs w:val="20"/>
          <w:highlight w:val="none"/>
          <w:lang w:val="en-US"/>
        </w:rPr>
        <w:t>+10</w:t>
      </w:r>
      <w:r>
        <w:rPr>
          <w:rFonts w:hint="eastAsia" w:ascii="宋体" w:hAnsi="宋体"/>
          <w:color w:val="auto"/>
          <w:sz w:val="20"/>
          <w:szCs w:val="20"/>
          <w:highlight w:val="none"/>
          <w:lang w:val="en-US"/>
        </w:rPr>
        <w:t>。</w:t>
      </w:r>
    </w:p>
    <w:p>
      <w:pPr>
        <w:pStyle w:val="74"/>
        <w:spacing w:line="360" w:lineRule="exact"/>
        <w:ind w:firstLine="400"/>
        <w:rPr>
          <w:rFonts w:ascii="宋体" w:hAnsi="宋体"/>
          <w:color w:val="auto"/>
          <w:sz w:val="20"/>
          <w:szCs w:val="20"/>
          <w:highlight w:val="none"/>
          <w:lang w:val="en-US"/>
        </w:rPr>
      </w:pPr>
      <w:r>
        <w:rPr>
          <w:rFonts w:ascii="宋体" w:hAnsi="宋体"/>
          <w:color w:val="auto"/>
          <w:sz w:val="20"/>
          <w:szCs w:val="20"/>
          <w:highlight w:val="none"/>
          <w:lang w:val="en-US"/>
        </w:rPr>
        <w:t>3</w:t>
      </w:r>
      <w:r>
        <w:rPr>
          <w:rFonts w:hint="eastAsia" w:ascii="宋体" w:hAnsi="宋体"/>
          <w:color w:val="auto"/>
          <w:sz w:val="20"/>
          <w:szCs w:val="20"/>
          <w:highlight w:val="none"/>
          <w:lang w:val="en-US"/>
        </w:rPr>
        <w:t>、第12栏合价=5×11项。</w:t>
      </w:r>
    </w:p>
    <w:p>
      <w:pPr>
        <w:pStyle w:val="74"/>
        <w:spacing w:line="360" w:lineRule="exact"/>
        <w:ind w:firstLine="400"/>
        <w:rPr>
          <w:rFonts w:ascii="宋体" w:hAnsi="宋体"/>
          <w:color w:val="auto"/>
          <w:sz w:val="20"/>
          <w:szCs w:val="20"/>
          <w:highlight w:val="none"/>
          <w:lang w:val="en-US"/>
        </w:rPr>
      </w:pPr>
      <w:r>
        <w:rPr>
          <w:rFonts w:ascii="宋体" w:hAnsi="宋体"/>
          <w:color w:val="auto"/>
          <w:sz w:val="20"/>
          <w:szCs w:val="20"/>
          <w:highlight w:val="none"/>
          <w:lang w:val="en-US"/>
        </w:rPr>
        <w:t>4</w:t>
      </w:r>
      <w:r>
        <w:rPr>
          <w:rFonts w:hint="eastAsia" w:ascii="宋体" w:hAnsi="宋体"/>
          <w:color w:val="auto"/>
          <w:sz w:val="20"/>
          <w:szCs w:val="20"/>
          <w:highlight w:val="none"/>
          <w:lang w:val="en-US"/>
        </w:rPr>
        <w:t>、投标总价合计为总价的合计，应与投标函的投标总价一致。</w:t>
      </w:r>
      <w:r>
        <w:rPr>
          <w:rFonts w:hint="eastAsia" w:hAnsi="宋体"/>
          <w:color w:val="auto"/>
          <w:sz w:val="20"/>
          <w:szCs w:val="20"/>
          <w:highlight w:val="none"/>
        </w:rPr>
        <w:t>投标报价为投标人的投标文件中提出的各项支付金额的总和。</w:t>
      </w:r>
    </w:p>
    <w:p>
      <w:pPr>
        <w:pStyle w:val="74"/>
        <w:spacing w:line="360" w:lineRule="exact"/>
        <w:ind w:firstLine="400"/>
        <w:rPr>
          <w:rFonts w:ascii="宋体" w:hAnsi="宋体"/>
          <w:color w:val="auto"/>
          <w:sz w:val="20"/>
          <w:szCs w:val="20"/>
          <w:highlight w:val="none"/>
          <w:lang w:val="en-US"/>
        </w:rPr>
      </w:pPr>
      <w:r>
        <w:rPr>
          <w:rFonts w:ascii="宋体" w:hAnsi="宋体"/>
          <w:color w:val="auto"/>
          <w:sz w:val="20"/>
          <w:szCs w:val="20"/>
          <w:highlight w:val="none"/>
          <w:lang w:val="en-US"/>
        </w:rPr>
        <w:t>5</w:t>
      </w:r>
      <w:r>
        <w:rPr>
          <w:rFonts w:hint="eastAsia" w:ascii="宋体" w:hAnsi="宋体"/>
          <w:color w:val="auto"/>
          <w:sz w:val="20"/>
          <w:szCs w:val="20"/>
          <w:highlight w:val="none"/>
          <w:lang w:val="en-US"/>
        </w:rPr>
        <w:t>、投标报价表中含价栏目，若无报价的须填“含”、“无”等字样，若出现空白，招标人视为已含在投标报价中。</w:t>
      </w:r>
    </w:p>
    <w:p>
      <w:pPr>
        <w:pStyle w:val="74"/>
        <w:spacing w:line="360" w:lineRule="exact"/>
        <w:ind w:firstLine="400"/>
        <w:rPr>
          <w:rFonts w:ascii="宋体" w:hAnsi="宋体"/>
          <w:color w:val="auto"/>
          <w:sz w:val="20"/>
          <w:szCs w:val="20"/>
          <w:highlight w:val="none"/>
          <w:lang w:val="en-US"/>
        </w:rPr>
      </w:pPr>
      <w:r>
        <w:rPr>
          <w:rFonts w:ascii="宋体" w:hAnsi="宋体"/>
          <w:color w:val="auto"/>
          <w:sz w:val="20"/>
          <w:szCs w:val="20"/>
          <w:highlight w:val="none"/>
          <w:lang w:val="en-US"/>
        </w:rPr>
        <w:t>6</w:t>
      </w:r>
      <w:r>
        <w:rPr>
          <w:rFonts w:hint="eastAsia" w:ascii="宋体" w:hAnsi="宋体"/>
          <w:color w:val="auto"/>
          <w:sz w:val="20"/>
          <w:szCs w:val="20"/>
          <w:highlight w:val="none"/>
          <w:lang w:val="en-US"/>
        </w:rPr>
        <w:t>、如交货货物数量调整时，综合单价不作调整。</w:t>
      </w:r>
    </w:p>
    <w:p>
      <w:pPr>
        <w:pStyle w:val="74"/>
        <w:spacing w:line="360" w:lineRule="exact"/>
        <w:ind w:firstLine="400"/>
        <w:rPr>
          <w:color w:val="auto"/>
          <w:sz w:val="20"/>
          <w:szCs w:val="20"/>
          <w:highlight w:val="none"/>
          <w:lang w:val="en-US"/>
        </w:rPr>
      </w:pPr>
      <w:r>
        <w:rPr>
          <w:rFonts w:ascii="宋体" w:hAnsi="宋体"/>
          <w:color w:val="auto"/>
          <w:sz w:val="20"/>
          <w:szCs w:val="20"/>
          <w:highlight w:val="none"/>
          <w:lang w:val="en-US"/>
        </w:rPr>
        <w:t>7</w:t>
      </w:r>
      <w:r>
        <w:rPr>
          <w:rFonts w:hint="eastAsia" w:ascii="宋体" w:hAnsi="宋体"/>
          <w:color w:val="auto"/>
          <w:sz w:val="20"/>
          <w:szCs w:val="20"/>
          <w:highlight w:val="none"/>
          <w:lang w:val="en-US"/>
        </w:rPr>
        <w:t>、其他清单是投标单位认为</w:t>
      </w:r>
      <w:r>
        <w:rPr>
          <w:rFonts w:hint="eastAsia"/>
          <w:color w:val="auto"/>
          <w:sz w:val="20"/>
          <w:szCs w:val="20"/>
          <w:highlight w:val="none"/>
          <w:lang w:val="en-US"/>
        </w:rPr>
        <w:t>图纸、货物清单不明确或缺项的内容，以及招标文件要求包含在投标总价中的所有内容的体现。如未填报则视为投标优惠。</w:t>
      </w:r>
    </w:p>
    <w:p>
      <w:pPr>
        <w:pStyle w:val="56"/>
        <w:adjustRightInd w:val="0"/>
        <w:snapToGrid w:val="0"/>
        <w:spacing w:line="312" w:lineRule="auto"/>
        <w:ind w:right="241" w:rightChars="115" w:firstLine="400"/>
        <w:rPr>
          <w:rFonts w:hAnsi="宋体"/>
          <w:color w:val="auto"/>
          <w:szCs w:val="20"/>
          <w:highlight w:val="none"/>
        </w:rPr>
      </w:pPr>
      <w:r>
        <w:rPr>
          <w:rFonts w:hAnsi="宋体"/>
          <w:color w:val="auto"/>
          <w:szCs w:val="20"/>
          <w:highlight w:val="none"/>
        </w:rPr>
        <w:t>8</w:t>
      </w:r>
      <w:r>
        <w:rPr>
          <w:rFonts w:hint="eastAsia" w:hAnsi="宋体"/>
          <w:color w:val="auto"/>
          <w:szCs w:val="20"/>
          <w:highlight w:val="none"/>
        </w:rPr>
        <w:t>、 技术标中明确或招标文件、设计图纸确定的相应技术规范要求的费用应包括在投标报价中，否则视同投标优惠。</w:t>
      </w:r>
    </w:p>
    <w:p>
      <w:pPr>
        <w:pStyle w:val="56"/>
        <w:adjustRightInd w:val="0"/>
        <w:snapToGrid w:val="0"/>
        <w:spacing w:line="312" w:lineRule="auto"/>
        <w:ind w:right="241" w:rightChars="115" w:firstLine="400"/>
        <w:rPr>
          <w:rFonts w:hAnsi="宋体"/>
          <w:color w:val="auto"/>
          <w:szCs w:val="20"/>
          <w:highlight w:val="none"/>
        </w:rPr>
      </w:pPr>
      <w:r>
        <w:rPr>
          <w:rFonts w:hAnsi="宋体"/>
          <w:color w:val="auto"/>
          <w:szCs w:val="20"/>
          <w:highlight w:val="none"/>
        </w:rPr>
        <w:t>9</w:t>
      </w:r>
      <w:r>
        <w:rPr>
          <w:rFonts w:hint="eastAsia" w:hAnsi="宋体"/>
          <w:color w:val="auto"/>
          <w:szCs w:val="20"/>
          <w:highlight w:val="none"/>
        </w:rPr>
        <w:t>、 投标人应先到项目现场踏勘以充分了解现场位置、情况、道路、储存空间、装卸限制及任何其它足以影响报价的情况，任何因忽视或误解工地情况而导致的索赔或工期延长申请将不获批准。</w:t>
      </w:r>
    </w:p>
    <w:p>
      <w:pPr>
        <w:pStyle w:val="56"/>
        <w:adjustRightInd w:val="0"/>
        <w:snapToGrid w:val="0"/>
        <w:spacing w:line="312" w:lineRule="auto"/>
        <w:ind w:right="241" w:rightChars="115" w:firstLine="400"/>
        <w:rPr>
          <w:rFonts w:hAnsi="宋体"/>
          <w:color w:val="auto"/>
          <w:szCs w:val="20"/>
          <w:highlight w:val="none"/>
        </w:rPr>
      </w:pPr>
      <w:r>
        <w:rPr>
          <w:rFonts w:hAnsi="宋体"/>
          <w:color w:val="auto"/>
          <w:szCs w:val="20"/>
          <w:highlight w:val="none"/>
        </w:rPr>
        <w:t>10</w:t>
      </w:r>
      <w:r>
        <w:rPr>
          <w:rFonts w:hint="eastAsia" w:hAnsi="宋体"/>
          <w:color w:val="auto"/>
          <w:szCs w:val="20"/>
          <w:highlight w:val="none"/>
        </w:rPr>
        <w:t>、投标人的投标报价包括并不限于按照本工程招标人提供的图纸、货物清单以及本项目技术要求所进行的进一步深化设计费、设备费、运输保险费、卸货费、</w:t>
      </w:r>
      <w:r>
        <w:rPr>
          <w:rFonts w:hint="eastAsia" w:hAnsi="宋体" w:cs="宋体"/>
          <w:color w:val="auto"/>
          <w:szCs w:val="20"/>
          <w:highlight w:val="none"/>
        </w:rPr>
        <w:t>仓储费、</w:t>
      </w:r>
      <w:r>
        <w:rPr>
          <w:rFonts w:hint="eastAsia" w:hAnsi="宋体"/>
          <w:color w:val="auto"/>
          <w:szCs w:val="20"/>
          <w:highlight w:val="none"/>
        </w:rPr>
        <w:t>工程施工费、设备安装费、安装调试费、技术服务与培训费、试运行费用、验收费、备品备件（含专用工具）费、质保期内的维修保养费、规费、税金、政策性文件规定及合同包含的所有风险、责任等完成本项目所有的供货及安装并通过验收合格的所有的一切费用；请各投标人综合分析充分考虑后全部组价计入本次报价中，中标后对上述方面的费用增加将不予调整。特别提醒：招标人在招标文件中给出的货物清单仅仅是为了方便本次招标，本工程实际发生的货物清单应该以招标人最终批准的由中标人完成的进一步深化设计图纸所对应的货物清单为准，本工程实际发生的货物清单供货安装费用与本次招标货物清单供货安装费用的差额请投标人充分考虑全部包含在本次投标总价中，中标后一律不予调整。</w:t>
      </w:r>
    </w:p>
    <w:p>
      <w:pPr>
        <w:pStyle w:val="56"/>
        <w:adjustRightInd w:val="0"/>
        <w:snapToGrid w:val="0"/>
        <w:spacing w:line="312" w:lineRule="auto"/>
        <w:ind w:right="241" w:rightChars="115" w:firstLine="400"/>
        <w:rPr>
          <w:rFonts w:hAnsi="宋体"/>
          <w:color w:val="auto"/>
          <w:szCs w:val="20"/>
          <w:highlight w:val="none"/>
        </w:rPr>
      </w:pPr>
      <w:r>
        <w:rPr>
          <w:rFonts w:hAnsi="宋体"/>
          <w:color w:val="auto"/>
          <w:szCs w:val="20"/>
          <w:highlight w:val="none"/>
        </w:rPr>
        <w:t>11</w:t>
      </w:r>
      <w:r>
        <w:rPr>
          <w:rFonts w:hint="eastAsia" w:hAnsi="宋体"/>
          <w:color w:val="auto"/>
          <w:szCs w:val="20"/>
          <w:highlight w:val="none"/>
        </w:rPr>
        <w:t>、投标人按照上述要求编制投标报价。一旦确认某一投标人中标，除合同规定的可调整内容外，中标人不得要求追加任何费用。</w:t>
      </w:r>
    </w:p>
    <w:p>
      <w:pPr>
        <w:pStyle w:val="56"/>
        <w:adjustRightInd w:val="0"/>
        <w:snapToGrid w:val="0"/>
        <w:spacing w:line="312" w:lineRule="auto"/>
        <w:ind w:right="241" w:rightChars="115" w:firstLine="400"/>
        <w:rPr>
          <w:rFonts w:hAnsi="宋体"/>
          <w:color w:val="auto"/>
          <w:szCs w:val="20"/>
          <w:highlight w:val="none"/>
        </w:rPr>
      </w:pPr>
      <w:r>
        <w:rPr>
          <w:rFonts w:hAnsi="宋体"/>
          <w:color w:val="auto"/>
          <w:szCs w:val="20"/>
          <w:highlight w:val="none"/>
        </w:rPr>
        <w:t>12</w:t>
      </w:r>
      <w:r>
        <w:rPr>
          <w:rFonts w:hint="eastAsia" w:hAnsi="宋体"/>
          <w:color w:val="auto"/>
          <w:szCs w:val="20"/>
          <w:highlight w:val="none"/>
        </w:rPr>
        <w:t>、施工水电费（中标价的</w:t>
      </w:r>
      <w:r>
        <w:rPr>
          <w:rFonts w:hAnsi="宋体"/>
          <w:color w:val="auto"/>
          <w:szCs w:val="20"/>
          <w:highlight w:val="none"/>
        </w:rPr>
        <w:t>1</w:t>
      </w:r>
      <w:r>
        <w:rPr>
          <w:rFonts w:hint="eastAsia" w:hAnsi="宋体"/>
          <w:color w:val="auto"/>
          <w:szCs w:val="20"/>
          <w:highlight w:val="none"/>
        </w:rPr>
        <w:t>%）等直接费及总承包服务费（中标价的3%）用由中标人直接向总承包单位支付，投标人在投标报价中明确报价。但该费用不足部分请投标人综合考虑后计入投标总价内，中标后一律不予调整。除总承包人在其施工周期内免费提供工地内已有的并能独立使用的脚手架、机械设备等辅助设施外，投标人报价中还应包含本项目供货及安装时所需的各项措施费，以及施工过程中需总承包人配合的所有费用（如未单独列报的，将视作已包含在投标总价之中），否则视作优惠。同时须满足下列要求：</w:t>
      </w:r>
    </w:p>
    <w:p>
      <w:pPr>
        <w:pStyle w:val="56"/>
        <w:adjustRightInd w:val="0"/>
        <w:snapToGrid w:val="0"/>
        <w:spacing w:line="312" w:lineRule="auto"/>
        <w:ind w:right="241" w:rightChars="115" w:firstLine="0" w:firstLineChars="0"/>
        <w:rPr>
          <w:rFonts w:hAnsi="宋体"/>
          <w:color w:val="auto"/>
          <w:szCs w:val="20"/>
          <w:highlight w:val="none"/>
        </w:rPr>
      </w:pPr>
      <w:r>
        <w:rPr>
          <w:rFonts w:hint="eastAsia" w:hAnsi="宋体"/>
          <w:color w:val="auto"/>
          <w:szCs w:val="20"/>
          <w:highlight w:val="none"/>
        </w:rPr>
        <w:t>①供应商进场后须与总包签订总包管理协议，服从总包管理要求。</w:t>
      </w:r>
    </w:p>
    <w:p>
      <w:pPr>
        <w:pStyle w:val="56"/>
        <w:adjustRightInd w:val="0"/>
        <w:snapToGrid w:val="0"/>
        <w:spacing w:line="312" w:lineRule="auto"/>
        <w:ind w:right="241" w:rightChars="115" w:firstLine="0" w:firstLineChars="0"/>
        <w:rPr>
          <w:rFonts w:hAnsi="宋体"/>
          <w:color w:val="auto"/>
          <w:szCs w:val="20"/>
          <w:highlight w:val="none"/>
        </w:rPr>
      </w:pPr>
      <w:r>
        <w:rPr>
          <w:rFonts w:hint="eastAsia" w:hAnsi="宋体"/>
          <w:color w:val="auto"/>
          <w:szCs w:val="20"/>
          <w:highlight w:val="none"/>
        </w:rPr>
        <w:t>②供应商的安装进场时间不应晚于监理、业主审批的施工总进度计划进场时间。</w:t>
      </w:r>
    </w:p>
    <w:p>
      <w:pPr>
        <w:pStyle w:val="56"/>
        <w:adjustRightInd w:val="0"/>
        <w:snapToGrid w:val="0"/>
        <w:spacing w:line="312" w:lineRule="auto"/>
        <w:ind w:right="241" w:rightChars="115" w:firstLine="0" w:firstLineChars="0"/>
        <w:rPr>
          <w:rFonts w:hAnsi="宋体"/>
          <w:color w:val="auto"/>
          <w:szCs w:val="20"/>
          <w:highlight w:val="none"/>
        </w:rPr>
      </w:pPr>
      <w:r>
        <w:rPr>
          <w:rFonts w:hint="eastAsia" w:hAnsi="宋体"/>
          <w:color w:val="auto"/>
          <w:szCs w:val="20"/>
          <w:highlight w:val="none"/>
        </w:rPr>
        <w:t>③供应商进场前，图纸须齐全，以免影响后续施工进度（供应商须对图纸进行深化设计）。</w:t>
      </w:r>
    </w:p>
    <w:p>
      <w:pPr>
        <w:pStyle w:val="56"/>
        <w:adjustRightInd w:val="0"/>
        <w:snapToGrid w:val="0"/>
        <w:spacing w:line="312" w:lineRule="auto"/>
        <w:ind w:right="241" w:rightChars="115" w:firstLine="0" w:firstLineChars="0"/>
        <w:rPr>
          <w:rFonts w:hAnsi="宋体"/>
          <w:color w:val="auto"/>
          <w:szCs w:val="20"/>
          <w:highlight w:val="none"/>
        </w:rPr>
      </w:pPr>
      <w:r>
        <w:rPr>
          <w:rFonts w:hint="eastAsia" w:hAnsi="宋体"/>
          <w:color w:val="auto"/>
          <w:szCs w:val="20"/>
          <w:highlight w:val="none"/>
        </w:rPr>
        <w:t>④进入施工现场后，设备及材料堆放场地须按照总包要求进行布设，满足标准化工地要求。</w:t>
      </w:r>
    </w:p>
    <w:p>
      <w:pPr>
        <w:pStyle w:val="56"/>
        <w:adjustRightInd w:val="0"/>
        <w:snapToGrid w:val="0"/>
        <w:spacing w:line="312" w:lineRule="auto"/>
        <w:ind w:right="241" w:rightChars="115" w:firstLine="0" w:firstLineChars="0"/>
        <w:rPr>
          <w:rFonts w:hAnsi="宋体"/>
          <w:color w:val="auto"/>
          <w:szCs w:val="20"/>
          <w:highlight w:val="none"/>
        </w:rPr>
      </w:pPr>
      <w:r>
        <w:rPr>
          <w:rFonts w:hint="eastAsia" w:hAnsi="宋体"/>
          <w:color w:val="auto"/>
          <w:szCs w:val="20"/>
          <w:highlight w:val="none"/>
        </w:rPr>
        <w:t>⑤供应商应做好自身安全管理工作，加强对所属人员的安全管理和交底教育工作，对自身安全承担全部责任，若因其发生安全事故造成对第三方的损失（包括荣誉损失）均由供应商负责。</w:t>
      </w:r>
    </w:p>
    <w:p>
      <w:pPr>
        <w:pStyle w:val="72"/>
        <w:rPr>
          <w:rFonts w:ascii="宋体" w:hAnsi="宋体"/>
          <w:color w:val="auto"/>
          <w:sz w:val="20"/>
          <w:szCs w:val="20"/>
          <w:highlight w:val="none"/>
        </w:rPr>
      </w:pPr>
      <w:r>
        <w:rPr>
          <w:rFonts w:hint="eastAsia" w:ascii="宋体" w:hAnsi="宋体"/>
          <w:color w:val="auto"/>
          <w:sz w:val="20"/>
          <w:szCs w:val="20"/>
          <w:highlight w:val="none"/>
        </w:rPr>
        <w:t>⑥除以上内容外，供货及安装过程中若供应商要求使用总承包单位的临时设施中住宿费用，材料、设备的存储堆放等及其他配合事项时，所发生的费用由双方自行协商解决。</w:t>
      </w:r>
    </w:p>
    <w:p>
      <w:pPr>
        <w:pStyle w:val="72"/>
        <w:adjustRightInd w:val="0"/>
        <w:snapToGrid w:val="0"/>
        <w:spacing w:line="312" w:lineRule="auto"/>
        <w:ind w:right="241" w:rightChars="115" w:firstLine="400" w:firstLineChars="200"/>
        <w:rPr>
          <w:rFonts w:ascii="宋体" w:hAnsi="宋体"/>
          <w:color w:val="auto"/>
          <w:highlight w:val="none"/>
        </w:rPr>
      </w:pPr>
      <w:r>
        <w:rPr>
          <w:rFonts w:hint="eastAsia" w:ascii="宋体" w:hAnsi="宋体"/>
          <w:color w:val="auto"/>
          <w:sz w:val="20"/>
          <w:szCs w:val="20"/>
          <w:highlight w:val="none"/>
        </w:rPr>
        <w:t>1</w:t>
      </w:r>
      <w:r>
        <w:rPr>
          <w:rFonts w:ascii="宋体" w:hAnsi="宋体"/>
          <w:color w:val="auto"/>
          <w:sz w:val="20"/>
          <w:szCs w:val="20"/>
          <w:highlight w:val="none"/>
        </w:rPr>
        <w:t>3</w:t>
      </w:r>
      <w:r>
        <w:rPr>
          <w:rFonts w:hint="eastAsia" w:ascii="宋体" w:hAnsi="宋体"/>
          <w:color w:val="auto"/>
          <w:sz w:val="20"/>
          <w:szCs w:val="20"/>
          <w:highlight w:val="none"/>
        </w:rPr>
        <w:t>、本项目釆用总价承包，货物清单中的工程量、清单描述若与图纸及答疑不一致时，</w:t>
      </w:r>
      <w:r>
        <w:rPr>
          <w:rFonts w:ascii="宋体" w:hAnsi="宋体"/>
          <w:color w:val="auto"/>
          <w:sz w:val="20"/>
          <w:szCs w:val="20"/>
          <w:highlight w:val="none"/>
        </w:rPr>
        <w:t>以图纸及答疑为准并须满足各专业的功能要求，由投标人自行复核计算。若图纸需二次深化，则由中标人自行深化完成</w:t>
      </w:r>
      <w:r>
        <w:rPr>
          <w:rFonts w:hint="eastAsia" w:ascii="宋体" w:hAnsi="宋体"/>
          <w:color w:val="auto"/>
          <w:sz w:val="20"/>
          <w:szCs w:val="20"/>
          <w:highlight w:val="none"/>
        </w:rPr>
        <w:t>并经使用人同意，</w:t>
      </w:r>
      <w:r>
        <w:rPr>
          <w:rFonts w:ascii="宋体" w:hAnsi="宋体"/>
          <w:color w:val="auto"/>
          <w:sz w:val="20"/>
          <w:szCs w:val="20"/>
          <w:highlight w:val="none"/>
        </w:rPr>
        <w:t>工程量及</w:t>
      </w:r>
      <w:r>
        <w:rPr>
          <w:rFonts w:hint="eastAsia" w:ascii="宋体" w:hAnsi="宋体"/>
          <w:color w:val="auto"/>
          <w:sz w:val="20"/>
          <w:szCs w:val="20"/>
          <w:highlight w:val="none"/>
        </w:rPr>
        <w:t>各种相关一切</w:t>
      </w:r>
      <w:r>
        <w:rPr>
          <w:rFonts w:ascii="宋体" w:hAnsi="宋体"/>
          <w:color w:val="auto"/>
          <w:sz w:val="20"/>
          <w:szCs w:val="20"/>
          <w:highlight w:val="none"/>
        </w:rPr>
        <w:t>费用不再增加。图纸中设备或材料若已有变更升级的相应设备或材料则需变更为升级后的设备或材料</w:t>
      </w:r>
      <w:r>
        <w:rPr>
          <w:rFonts w:hint="eastAsia" w:ascii="宋体" w:hAnsi="宋体"/>
          <w:color w:val="auto"/>
          <w:sz w:val="20"/>
          <w:szCs w:val="20"/>
          <w:highlight w:val="none"/>
        </w:rPr>
        <w:t>经使用人同意</w:t>
      </w:r>
      <w:r>
        <w:rPr>
          <w:rFonts w:ascii="宋体" w:hAnsi="宋体"/>
          <w:color w:val="auto"/>
          <w:sz w:val="20"/>
          <w:szCs w:val="20"/>
          <w:highlight w:val="none"/>
        </w:rPr>
        <w:t>，费用也不再增加。</w:t>
      </w:r>
      <w:r>
        <w:rPr>
          <w:rFonts w:hint="eastAsia" w:ascii="宋体" w:hAnsi="宋体"/>
          <w:color w:val="auto"/>
          <w:sz w:val="20"/>
          <w:szCs w:val="20"/>
          <w:highlight w:val="none"/>
        </w:rPr>
        <w:t>使用人</w:t>
      </w:r>
      <w:r>
        <w:rPr>
          <w:rFonts w:ascii="宋体" w:hAnsi="宋体"/>
          <w:color w:val="auto"/>
          <w:sz w:val="20"/>
          <w:szCs w:val="20"/>
          <w:highlight w:val="none"/>
        </w:rPr>
        <w:t>有权增减工作范围，该费用应予以增减。</w:t>
      </w:r>
      <w:r>
        <w:rPr>
          <w:rFonts w:hint="eastAsia" w:ascii="宋体" w:hAnsi="宋体"/>
          <w:color w:val="auto"/>
          <w:sz w:val="20"/>
          <w:szCs w:val="20"/>
          <w:highlight w:val="none"/>
        </w:rPr>
        <w:t>招标人所有的变更，必须经过使用人书面同意</w:t>
      </w:r>
      <w:r>
        <w:rPr>
          <w:rFonts w:hint="eastAsia" w:ascii="宋体" w:hAnsi="宋体"/>
          <w:color w:val="auto"/>
          <w:highlight w:val="none"/>
        </w:rPr>
        <w:t>。</w:t>
      </w:r>
    </w:p>
    <w:p>
      <w:pPr>
        <w:pStyle w:val="2"/>
        <w:ind w:firstLine="0" w:firstLineChars="0"/>
        <w:rPr>
          <w:color w:val="auto"/>
          <w:highlight w:val="none"/>
        </w:rPr>
      </w:pPr>
    </w:p>
    <w:p>
      <w:pPr>
        <w:rPr>
          <w:color w:val="auto"/>
          <w:highlight w:val="none"/>
        </w:rPr>
      </w:pPr>
    </w:p>
    <w:p>
      <w:pPr>
        <w:pStyle w:val="2"/>
        <w:ind w:firstLine="0" w:firstLineChars="0"/>
        <w:rPr>
          <w:rFonts w:ascii="宋体" w:hAnsi="宋体"/>
          <w:color w:val="auto"/>
          <w:sz w:val="21"/>
          <w:szCs w:val="21"/>
          <w:highlight w:val="none"/>
        </w:rPr>
      </w:pPr>
      <w:r>
        <w:rPr>
          <w:rFonts w:hint="eastAsia" w:ascii="宋体" w:hAnsi="宋体"/>
          <w:color w:val="auto"/>
          <w:sz w:val="21"/>
          <w:szCs w:val="21"/>
          <w:highlight w:val="none"/>
        </w:rPr>
        <w:t>投标人：</w:t>
      </w:r>
      <w:r>
        <w:rPr>
          <w:rFonts w:hint="eastAsia" w:ascii="宋体" w:hAnsi="宋体"/>
          <w:color w:val="auto"/>
          <w:szCs w:val="21"/>
          <w:highlight w:val="none"/>
        </w:rPr>
        <w:t xml:space="preserve">                </w:t>
      </w:r>
      <w:r>
        <w:rPr>
          <w:rFonts w:hint="eastAsia" w:ascii="宋体" w:hAnsi="宋体"/>
          <w:color w:val="auto"/>
          <w:sz w:val="21"/>
          <w:szCs w:val="21"/>
          <w:highlight w:val="none"/>
        </w:rPr>
        <w:t>（盖章）</w:t>
      </w:r>
    </w:p>
    <w:p>
      <w:pPr>
        <w:rPr>
          <w:rFonts w:ascii="宋体" w:hAnsi="宋体"/>
          <w:color w:val="auto"/>
          <w:szCs w:val="21"/>
          <w:highlight w:val="none"/>
        </w:rPr>
      </w:pPr>
    </w:p>
    <w:p>
      <w:pPr>
        <w:pStyle w:val="2"/>
        <w:ind w:firstLine="340"/>
        <w:rPr>
          <w:rFonts w:ascii="宋体" w:hAnsi="宋体"/>
          <w:color w:val="auto"/>
          <w:szCs w:val="21"/>
          <w:highlight w:val="none"/>
        </w:rPr>
      </w:pPr>
    </w:p>
    <w:p>
      <w:pPr>
        <w:rPr>
          <w:rFonts w:ascii="宋体" w:hAnsi="宋体"/>
          <w:color w:val="auto"/>
          <w:szCs w:val="21"/>
          <w:highlight w:val="none"/>
        </w:rPr>
      </w:pPr>
      <w:r>
        <w:rPr>
          <w:rFonts w:hint="eastAsia" w:ascii="宋体" w:hAnsi="宋体"/>
          <w:color w:val="auto"/>
          <w:szCs w:val="21"/>
          <w:highlight w:val="none"/>
        </w:rPr>
        <w:t xml:space="preserve">法定代表人或其委托代理人：        （签字或盖章 ） </w:t>
      </w:r>
    </w:p>
    <w:p>
      <w:pPr>
        <w:rPr>
          <w:color w:val="auto"/>
          <w:highlight w:val="none"/>
        </w:rPr>
      </w:pPr>
    </w:p>
    <w:p>
      <w:pPr>
        <w:pStyle w:val="2"/>
        <w:ind w:firstLine="340"/>
        <w:rPr>
          <w:color w:val="auto"/>
          <w:highlight w:val="none"/>
        </w:rPr>
      </w:pPr>
    </w:p>
    <w:p>
      <w:pPr>
        <w:rPr>
          <w:color w:val="auto"/>
          <w:highlight w:val="none"/>
        </w:rPr>
      </w:pPr>
      <w:r>
        <w:rPr>
          <w:rFonts w:hint="eastAsia" w:ascii="宋体" w:hAnsi="宋体"/>
          <w:color w:val="auto"/>
          <w:szCs w:val="21"/>
          <w:highlight w:val="none"/>
        </w:rPr>
        <w:t>日期：    年    月    日</w:t>
      </w:r>
    </w:p>
    <w:p>
      <w:pPr>
        <w:rPr>
          <w:rFonts w:asciiTheme="minorEastAsia" w:hAnsiTheme="minorEastAsia" w:eastAsiaTheme="minorEastAsia" w:cstheme="minorEastAsia"/>
          <w:color w:val="auto"/>
          <w:sz w:val="24"/>
          <w:szCs w:val="24"/>
          <w:highlight w:val="none"/>
        </w:rPr>
      </w:pPr>
    </w:p>
    <w:p>
      <w:pPr>
        <w:pStyle w:val="2"/>
        <w:ind w:firstLine="0" w:firstLineChars="0"/>
        <w:rPr>
          <w:color w:val="auto"/>
          <w:highlight w:val="none"/>
        </w:rPr>
      </w:pPr>
    </w:p>
    <w:p>
      <w:pPr>
        <w:rPr>
          <w:rFonts w:asciiTheme="minorEastAsia" w:hAnsiTheme="minorEastAsia" w:eastAsiaTheme="minorEastAsia" w:cstheme="minorEastAsia"/>
          <w:color w:val="auto"/>
          <w:sz w:val="24"/>
          <w:szCs w:val="24"/>
          <w:highlight w:val="none"/>
        </w:rPr>
      </w:pPr>
    </w:p>
    <w:p>
      <w:pPr>
        <w:rPr>
          <w:color w:val="auto"/>
          <w:highlight w:val="none"/>
        </w:rPr>
      </w:pPr>
    </w:p>
    <w:p>
      <w:pPr>
        <w:rPr>
          <w:color w:val="auto"/>
          <w:highlight w:val="none"/>
        </w:rPr>
      </w:pPr>
    </w:p>
    <w:p>
      <w:pPr>
        <w:rPr>
          <w:color w:val="auto"/>
          <w:highlight w:val="none"/>
        </w:rPr>
      </w:pPr>
    </w:p>
    <w:sectPr>
      <w:pgSz w:w="16838" w:h="11905" w:orient="landscape"/>
      <w:pgMar w:top="1134" w:right="1417" w:bottom="1134" w:left="1417" w:header="680" w:footer="680" w:gutter="0"/>
      <w:cols w:space="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细黑">
    <w:panose1 w:val="02010600040101010101"/>
    <w:charset w:val="86"/>
    <w:family w:val="auto"/>
    <w:pitch w:val="default"/>
    <w:sig w:usb0="00000287" w:usb1="080F0000" w:usb2="00000000" w:usb3="00000000" w:csb0="0004009F" w:csb1="DFD70000"/>
  </w:font>
  <w:font w:name="Cambria">
    <w:panose1 w:val="02040503050406030204"/>
    <w:charset w:val="00"/>
    <w:family w:val="roman"/>
    <w:pitch w:val="default"/>
    <w:sig w:usb0="E00006FF" w:usb1="420024FF" w:usb2="02000000" w:usb3="00000000" w:csb0="2000019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monospac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微软雅黑">
    <w:panose1 w:val="020B0503020204020204"/>
    <w:charset w:val="86"/>
    <w:family w:val="auto"/>
    <w:pitch w:val="default"/>
    <w:sig w:usb0="80000287" w:usb1="2ACF3C50" w:usb2="00000016" w:usb3="00000000" w:csb0="0004001F" w:csb1="00000000"/>
  </w:font>
  <w:font w:name="???|CS?o｡ﾀ?">
    <w:altName w:val="MS PGothic"/>
    <w:panose1 w:val="00000000000000000000"/>
    <w:charset w:val="80"/>
    <w:family w:val="modern"/>
    <w:pitch w:val="default"/>
    <w:sig w:usb0="00000000" w:usb1="00000000" w:usb2="00000010" w:usb3="00000000" w:csb0="00020000" w:csb1="00000000"/>
  </w:font>
  <w:font w:name="MS PGothic">
    <w:panose1 w:val="020B0600070205080204"/>
    <w:charset w:val="80"/>
    <w:family w:val="auto"/>
    <w:pitch w:val="default"/>
    <w:sig w:usb0="E00002FF" w:usb1="6AC7FDFB" w:usb2="08000012" w:usb3="00000000" w:csb0="4002009F" w:csb1="DFD70000"/>
  </w:font>
  <w:font w:name="等线">
    <w:panose1 w:val="02010600030101010101"/>
    <w:charset w:val="86"/>
    <w:family w:val="auto"/>
    <w:pitch w:val="default"/>
    <w:sig w:usb0="A00002BF" w:usb1="38CF7CFA" w:usb2="00000016" w:usb3="00000000" w:csb0="0004000F" w:csb1="00000000"/>
  </w:font>
  <w:font w:name="MS Mincho">
    <w:altName w:val="Yu Gothic UI"/>
    <w:panose1 w:val="02020609040205080304"/>
    <w:charset w:val="80"/>
    <w:family w:val="modern"/>
    <w:pitch w:val="default"/>
    <w:sig w:usb0="00000000" w:usb1="00000000" w:usb2="00000010" w:usb3="00000000" w:csb0="4002009F" w:csb1="DFD70000"/>
  </w:font>
  <w:font w:name="Yu Gothic UI">
    <w:panose1 w:val="020B0500000000000000"/>
    <w:charset w:val="80"/>
    <w:family w:val="auto"/>
    <w:pitch w:val="default"/>
    <w:sig w:usb0="E00002FF" w:usb1="2AC7FDFF" w:usb2="00000016" w:usb3="00000000" w:csb0="2002009F" w:csb1="00000000"/>
  </w:font>
  <w:font w:name="Arial Narrow">
    <w:panose1 w:val="020B0606020202030204"/>
    <w:charset w:val="00"/>
    <w:family w:val="swiss"/>
    <w:pitch w:val="default"/>
    <w:sig w:usb0="00000287" w:usb1="00000800" w:usb2="00000000" w:usb3="00000000" w:csb0="2000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pPr>
    <w:r>
      <mc:AlternateContent>
        <mc:Choice Requires="wps">
          <w:drawing>
            <wp:anchor distT="0" distB="0" distL="114300" distR="114300" simplePos="0" relativeHeight="251743232" behindDoc="0" locked="0" layoutInCell="1" allowOverlap="1">
              <wp:simplePos x="0" y="0"/>
              <wp:positionH relativeFrom="margin">
                <wp:align>center</wp:align>
              </wp:positionH>
              <wp:positionV relativeFrom="paragraph">
                <wp:posOffset>0</wp:posOffset>
              </wp:positionV>
              <wp:extent cx="1828800" cy="1828800"/>
              <wp:effectExtent l="0" t="0" r="0" b="0"/>
              <wp:wrapNone/>
              <wp:docPr id="4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pPr>
                            <w:pStyle w:val="18"/>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1" o:spid="_x0000_s1026" o:spt="202" type="#_x0000_t202" style="position:absolute;left:0pt;margin-top:0pt;height:144pt;width:144pt;mso-position-horizontal:center;mso-position-horizontal-relative:margin;mso-wrap-style:none;z-index:2517432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tMzlXzICAABkBAAADgAAAAAAAAABACAAAAAfAQAAZHJzL2Uyb0RvYy54bWxQSwUG&#10;AAAAAAYABgBZAQAAwwUAAAAA&#10;">
              <v:fill on="f" focussize="0,0"/>
              <v:stroke on="f" weight="0.5pt"/>
              <v:imagedata o:title=""/>
              <o:lock v:ext="edit" aspectratio="f"/>
              <v:textbox inset="0mm,0mm,0mm,0mm" style="mso-fit-shape-to-text:t;">
                <w:txbxContent>
                  <w:p>
                    <w:pPr>
                      <w:pStyle w:val="18"/>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framePr w:wrap="around" w:vAnchor="text" w:hAnchor="margin" w:xAlign="center" w:y="1"/>
      <w:ind w:firstLine="180"/>
      <w:rPr>
        <w:rStyle w:val="31"/>
      </w:rPr>
    </w:pPr>
    <w:r>
      <w:fldChar w:fldCharType="begin"/>
    </w:r>
    <w:r>
      <w:rPr>
        <w:rStyle w:val="31"/>
      </w:rPr>
      <w:instrText xml:space="preserve">PAGE  </w:instrText>
    </w:r>
    <w:r>
      <w:fldChar w:fldCharType="separate"/>
    </w:r>
    <w:r>
      <w:rPr>
        <w:rStyle w:val="31"/>
      </w:rPr>
      <w:t>28</w:t>
    </w:r>
    <w:r>
      <w:fldChar w:fldCharType="end"/>
    </w:r>
  </w:p>
  <w:p>
    <w:pPr>
      <w:pStyle w:val="18"/>
      <w:ind w:firstLine="18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framePr w:wrap="around" w:vAnchor="text" w:hAnchor="margin" w:xAlign="outside" w:y="1"/>
      <w:rPr>
        <w:rStyle w:val="31"/>
      </w:rPr>
    </w:pPr>
    <w:r>
      <w:fldChar w:fldCharType="begin"/>
    </w:r>
    <w:r>
      <w:rPr>
        <w:rStyle w:val="31"/>
      </w:rPr>
      <w:instrText xml:space="preserve">PAGE  </w:instrText>
    </w:r>
    <w:r>
      <w:fldChar w:fldCharType="separate"/>
    </w:r>
    <w:r>
      <w:rPr>
        <w:rStyle w:val="31"/>
      </w:rPr>
      <w:t>16</w:t>
    </w:r>
    <w:r>
      <w:fldChar w:fldCharType="end"/>
    </w:r>
  </w:p>
  <w:p>
    <w:pPr>
      <w:pStyle w:val="18"/>
      <w:ind w:right="360" w:firstLine="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framePr w:wrap="around" w:vAnchor="text" w:hAnchor="margin" w:xAlign="center" w:y="1"/>
      <w:ind w:firstLine="180"/>
      <w:rPr>
        <w:rStyle w:val="31"/>
      </w:rPr>
    </w:pPr>
    <w:r>
      <w:fldChar w:fldCharType="begin"/>
    </w:r>
    <w:r>
      <w:rPr>
        <w:rStyle w:val="31"/>
      </w:rPr>
      <w:instrText xml:space="preserve">PAGE  </w:instrText>
    </w:r>
    <w:r>
      <w:fldChar w:fldCharType="separate"/>
    </w:r>
    <w:r>
      <w:rPr>
        <w:rStyle w:val="31"/>
      </w:rPr>
      <w:t>32</w:t>
    </w:r>
    <w:r>
      <w:fldChar w:fldCharType="end"/>
    </w:r>
  </w:p>
  <w:p>
    <w:pPr>
      <w:pStyle w:val="18"/>
      <w:ind w:right="360" w:firstLine="180"/>
      <w:jc w:val="cente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B92EBF6"/>
    <w:multiLevelType w:val="singleLevel"/>
    <w:tmpl w:val="AB92EBF6"/>
    <w:lvl w:ilvl="0" w:tentative="0">
      <w:start w:val="1"/>
      <w:numFmt w:val="decimal"/>
      <w:suff w:val="nothing"/>
      <w:lvlText w:val="%1、"/>
      <w:lvlJc w:val="left"/>
    </w:lvl>
  </w:abstractNum>
  <w:abstractNum w:abstractNumId="1">
    <w:nsid w:val="CF79A0DF"/>
    <w:multiLevelType w:val="singleLevel"/>
    <w:tmpl w:val="CF79A0DF"/>
    <w:lvl w:ilvl="0" w:tentative="0">
      <w:start w:val="9"/>
      <w:numFmt w:val="decimal"/>
      <w:suff w:val="nothing"/>
      <w:lvlText w:val="%1、"/>
      <w:lvlJc w:val="left"/>
    </w:lvl>
  </w:abstractNum>
  <w:abstractNum w:abstractNumId="2">
    <w:nsid w:val="E0E1E3CC"/>
    <w:multiLevelType w:val="singleLevel"/>
    <w:tmpl w:val="E0E1E3CC"/>
    <w:lvl w:ilvl="0" w:tentative="0">
      <w:start w:val="1"/>
      <w:numFmt w:val="decimal"/>
      <w:suff w:val="nothing"/>
      <w:lvlText w:val="%1、"/>
      <w:lvlJc w:val="left"/>
    </w:lvl>
  </w:abstractNum>
  <w:abstractNum w:abstractNumId="3">
    <w:nsid w:val="F7D000BB"/>
    <w:multiLevelType w:val="singleLevel"/>
    <w:tmpl w:val="F7D000BB"/>
    <w:lvl w:ilvl="0" w:tentative="0">
      <w:start w:val="1"/>
      <w:numFmt w:val="decimal"/>
      <w:suff w:val="nothing"/>
      <w:lvlText w:val="%1、"/>
      <w:lvlJc w:val="left"/>
    </w:lvl>
  </w:abstractNum>
  <w:abstractNum w:abstractNumId="4">
    <w:nsid w:val="00000001"/>
    <w:multiLevelType w:val="singleLevel"/>
    <w:tmpl w:val="00000001"/>
    <w:lvl w:ilvl="0" w:tentative="0">
      <w:start w:val="1"/>
      <w:numFmt w:val="decimalEnclosedCircleChinese"/>
      <w:suff w:val="nothing"/>
      <w:lvlText w:val="%1　"/>
      <w:lvlJc w:val="left"/>
      <w:pPr>
        <w:ind w:left="0" w:firstLine="400"/>
      </w:pPr>
      <w:rPr>
        <w:rFonts w:hint="eastAsia"/>
      </w:rPr>
    </w:lvl>
  </w:abstractNum>
  <w:abstractNum w:abstractNumId="5">
    <w:nsid w:val="00000008"/>
    <w:multiLevelType w:val="multilevel"/>
    <w:tmpl w:val="00000008"/>
    <w:lvl w:ilvl="0" w:tentative="0">
      <w:start w:val="1"/>
      <w:numFmt w:val="decimalEnclosedCircleChinese"/>
      <w:lvlText w:val="%1　"/>
      <w:lvlJc w:val="left"/>
      <w:pPr>
        <w:ind w:left="820" w:hanging="420"/>
      </w:pPr>
      <w:rPr>
        <w:rFonts w:hint="eastAsia"/>
      </w:rPr>
    </w:lvl>
    <w:lvl w:ilvl="1" w:tentative="0">
      <w:start w:val="1"/>
      <w:numFmt w:val="lowerLetter"/>
      <w:lvlText w:val="%2)"/>
      <w:lvlJc w:val="left"/>
      <w:pPr>
        <w:ind w:left="1240" w:hanging="420"/>
      </w:pPr>
    </w:lvl>
    <w:lvl w:ilvl="2" w:tentative="0">
      <w:start w:val="1"/>
      <w:numFmt w:val="lowerRoman"/>
      <w:lvlText w:val="%3."/>
      <w:lvlJc w:val="right"/>
      <w:pPr>
        <w:ind w:left="1660" w:hanging="420"/>
      </w:pPr>
    </w:lvl>
    <w:lvl w:ilvl="3" w:tentative="0">
      <w:start w:val="1"/>
      <w:numFmt w:val="decimal"/>
      <w:lvlText w:val="%4."/>
      <w:lvlJc w:val="left"/>
      <w:pPr>
        <w:ind w:left="2080" w:hanging="420"/>
      </w:pPr>
    </w:lvl>
    <w:lvl w:ilvl="4" w:tentative="0">
      <w:start w:val="1"/>
      <w:numFmt w:val="lowerLetter"/>
      <w:lvlText w:val="%5)"/>
      <w:lvlJc w:val="left"/>
      <w:pPr>
        <w:ind w:left="2500" w:hanging="420"/>
      </w:pPr>
    </w:lvl>
    <w:lvl w:ilvl="5" w:tentative="0">
      <w:start w:val="1"/>
      <w:numFmt w:val="lowerRoman"/>
      <w:lvlText w:val="%6."/>
      <w:lvlJc w:val="right"/>
      <w:pPr>
        <w:ind w:left="2920" w:hanging="420"/>
      </w:pPr>
    </w:lvl>
    <w:lvl w:ilvl="6" w:tentative="0">
      <w:start w:val="1"/>
      <w:numFmt w:val="decimal"/>
      <w:lvlText w:val="%7."/>
      <w:lvlJc w:val="left"/>
      <w:pPr>
        <w:ind w:left="3340" w:hanging="420"/>
      </w:pPr>
    </w:lvl>
    <w:lvl w:ilvl="7" w:tentative="0">
      <w:start w:val="1"/>
      <w:numFmt w:val="lowerLetter"/>
      <w:lvlText w:val="%8)"/>
      <w:lvlJc w:val="left"/>
      <w:pPr>
        <w:ind w:left="3760" w:hanging="420"/>
      </w:pPr>
    </w:lvl>
    <w:lvl w:ilvl="8" w:tentative="0">
      <w:start w:val="1"/>
      <w:numFmt w:val="lowerRoman"/>
      <w:lvlText w:val="%9."/>
      <w:lvlJc w:val="right"/>
      <w:pPr>
        <w:ind w:left="4180" w:hanging="420"/>
      </w:pPr>
    </w:lvl>
  </w:abstractNum>
  <w:abstractNum w:abstractNumId="6">
    <w:nsid w:val="00000009"/>
    <w:multiLevelType w:val="singleLevel"/>
    <w:tmpl w:val="00000009"/>
    <w:lvl w:ilvl="0" w:tentative="0">
      <w:start w:val="1"/>
      <w:numFmt w:val="decimalEnclosedCircleChinese"/>
      <w:suff w:val="nothing"/>
      <w:lvlText w:val="%1　"/>
      <w:lvlJc w:val="left"/>
      <w:pPr>
        <w:ind w:left="0" w:firstLine="400"/>
      </w:pPr>
      <w:rPr>
        <w:rFonts w:hint="eastAsia"/>
        <w:lang w:val="en-US"/>
      </w:rPr>
    </w:lvl>
  </w:abstractNum>
  <w:abstractNum w:abstractNumId="7">
    <w:nsid w:val="0000000E"/>
    <w:multiLevelType w:val="singleLevel"/>
    <w:tmpl w:val="0000000E"/>
    <w:lvl w:ilvl="0" w:tentative="0">
      <w:start w:val="1"/>
      <w:numFmt w:val="decimalEnclosedCircleChinese"/>
      <w:suff w:val="nothing"/>
      <w:lvlText w:val="%1　"/>
      <w:lvlJc w:val="left"/>
      <w:pPr>
        <w:ind w:left="0" w:firstLine="400"/>
      </w:pPr>
      <w:rPr>
        <w:rFonts w:hint="eastAsia"/>
      </w:rPr>
    </w:lvl>
  </w:abstractNum>
  <w:abstractNum w:abstractNumId="8">
    <w:nsid w:val="00000014"/>
    <w:multiLevelType w:val="singleLevel"/>
    <w:tmpl w:val="00000014"/>
    <w:lvl w:ilvl="0" w:tentative="0">
      <w:start w:val="1"/>
      <w:numFmt w:val="decimalEnclosedCircleChinese"/>
      <w:suff w:val="nothing"/>
      <w:lvlText w:val="%1　"/>
      <w:lvlJc w:val="left"/>
      <w:pPr>
        <w:ind w:left="0" w:firstLine="400"/>
      </w:pPr>
      <w:rPr>
        <w:rFonts w:hint="eastAsia"/>
      </w:rPr>
    </w:lvl>
  </w:abstractNum>
  <w:abstractNum w:abstractNumId="9">
    <w:nsid w:val="0000001A"/>
    <w:multiLevelType w:val="singleLevel"/>
    <w:tmpl w:val="0000001A"/>
    <w:lvl w:ilvl="0" w:tentative="0">
      <w:start w:val="1"/>
      <w:numFmt w:val="decimalEnclosedCircleChinese"/>
      <w:suff w:val="nothing"/>
      <w:lvlText w:val="%1　"/>
      <w:lvlJc w:val="left"/>
      <w:pPr>
        <w:ind w:left="0" w:firstLine="400"/>
      </w:pPr>
      <w:rPr>
        <w:rFonts w:hint="eastAsia"/>
      </w:rPr>
    </w:lvl>
  </w:abstractNum>
  <w:abstractNum w:abstractNumId="10">
    <w:nsid w:val="0000001B"/>
    <w:multiLevelType w:val="singleLevel"/>
    <w:tmpl w:val="0000001B"/>
    <w:lvl w:ilvl="0" w:tentative="0">
      <w:start w:val="1"/>
      <w:numFmt w:val="lowerLetter"/>
      <w:lvlText w:val="%1."/>
      <w:lvlJc w:val="left"/>
      <w:pPr>
        <w:ind w:left="425" w:hanging="425"/>
      </w:pPr>
      <w:rPr>
        <w:rFonts w:hint="default"/>
      </w:rPr>
    </w:lvl>
  </w:abstractNum>
  <w:abstractNum w:abstractNumId="11">
    <w:nsid w:val="00000035"/>
    <w:multiLevelType w:val="singleLevel"/>
    <w:tmpl w:val="00000035"/>
    <w:lvl w:ilvl="0" w:tentative="0">
      <w:start w:val="1"/>
      <w:numFmt w:val="decimalEnclosedCircleChinese"/>
      <w:suff w:val="nothing"/>
      <w:lvlText w:val="%1　"/>
      <w:lvlJc w:val="left"/>
      <w:pPr>
        <w:ind w:left="25" w:firstLine="400"/>
      </w:pPr>
      <w:rPr>
        <w:rFonts w:hint="eastAsia"/>
      </w:rPr>
    </w:lvl>
  </w:abstractNum>
  <w:abstractNum w:abstractNumId="12">
    <w:nsid w:val="00000039"/>
    <w:multiLevelType w:val="singleLevel"/>
    <w:tmpl w:val="00000039"/>
    <w:lvl w:ilvl="0" w:tentative="0">
      <w:start w:val="1"/>
      <w:numFmt w:val="decimalEnclosedCircleChinese"/>
      <w:suff w:val="nothing"/>
      <w:lvlText w:val="%1　"/>
      <w:lvlJc w:val="left"/>
      <w:pPr>
        <w:ind w:left="0" w:firstLine="400"/>
      </w:pPr>
    </w:lvl>
  </w:abstractNum>
  <w:abstractNum w:abstractNumId="13">
    <w:nsid w:val="00000047"/>
    <w:multiLevelType w:val="singleLevel"/>
    <w:tmpl w:val="00000047"/>
    <w:lvl w:ilvl="0" w:tentative="0">
      <w:start w:val="1"/>
      <w:numFmt w:val="decimal"/>
      <w:lvlText w:val="1.%1."/>
      <w:lvlJc w:val="left"/>
      <w:pPr>
        <w:tabs>
          <w:tab w:val="left" w:pos="420"/>
        </w:tabs>
        <w:ind w:left="425" w:hanging="425"/>
      </w:pPr>
      <w:rPr>
        <w:rFonts w:hint="default"/>
      </w:rPr>
    </w:lvl>
  </w:abstractNum>
  <w:abstractNum w:abstractNumId="14">
    <w:nsid w:val="0000004D"/>
    <w:multiLevelType w:val="singleLevel"/>
    <w:tmpl w:val="0000004D"/>
    <w:lvl w:ilvl="0" w:tentative="0">
      <w:start w:val="1"/>
      <w:numFmt w:val="decimalEnclosedCircleChinese"/>
      <w:suff w:val="nothing"/>
      <w:lvlText w:val="%1　"/>
      <w:lvlJc w:val="left"/>
      <w:pPr>
        <w:ind w:left="0" w:firstLine="400"/>
      </w:pPr>
      <w:rPr>
        <w:rFonts w:hint="eastAsia"/>
      </w:rPr>
    </w:lvl>
  </w:abstractNum>
  <w:abstractNum w:abstractNumId="15">
    <w:nsid w:val="00000060"/>
    <w:multiLevelType w:val="singleLevel"/>
    <w:tmpl w:val="00000060"/>
    <w:lvl w:ilvl="0" w:tentative="0">
      <w:start w:val="1"/>
      <w:numFmt w:val="decimalEnclosedCircleChinese"/>
      <w:suff w:val="nothing"/>
      <w:lvlText w:val="%1　"/>
      <w:lvlJc w:val="left"/>
      <w:pPr>
        <w:ind w:left="0" w:firstLine="400"/>
      </w:pPr>
      <w:rPr>
        <w:rFonts w:cs="Times New Roman"/>
      </w:rPr>
    </w:lvl>
  </w:abstractNum>
  <w:abstractNum w:abstractNumId="16">
    <w:nsid w:val="00000061"/>
    <w:multiLevelType w:val="singleLevel"/>
    <w:tmpl w:val="00000061"/>
    <w:lvl w:ilvl="0" w:tentative="0">
      <w:start w:val="1"/>
      <w:numFmt w:val="decimalEnclosedCircleChinese"/>
      <w:suff w:val="nothing"/>
      <w:lvlText w:val="%1　"/>
      <w:lvlJc w:val="left"/>
      <w:pPr>
        <w:ind w:left="0" w:firstLine="400"/>
      </w:pPr>
    </w:lvl>
  </w:abstractNum>
  <w:abstractNum w:abstractNumId="17">
    <w:nsid w:val="02687F34"/>
    <w:multiLevelType w:val="multilevel"/>
    <w:tmpl w:val="02687F34"/>
    <w:lvl w:ilvl="0" w:tentative="0">
      <w:start w:val="1"/>
      <w:numFmt w:val="chineseCountingThousand"/>
      <w:lvlText w:val="(%1)"/>
      <w:lvlJc w:val="left"/>
      <w:pPr>
        <w:ind w:left="987"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8">
    <w:nsid w:val="034F1C54"/>
    <w:multiLevelType w:val="singleLevel"/>
    <w:tmpl w:val="034F1C54"/>
    <w:lvl w:ilvl="0" w:tentative="0">
      <w:start w:val="1"/>
      <w:numFmt w:val="decimalEnclosedCircleChinese"/>
      <w:suff w:val="nothing"/>
      <w:lvlText w:val="%1　"/>
      <w:lvlJc w:val="left"/>
      <w:pPr>
        <w:ind w:left="0" w:firstLine="400"/>
      </w:pPr>
      <w:rPr>
        <w:rFonts w:hint="eastAsia"/>
      </w:rPr>
    </w:lvl>
  </w:abstractNum>
  <w:abstractNum w:abstractNumId="19">
    <w:nsid w:val="03B02AB1"/>
    <w:multiLevelType w:val="singleLevel"/>
    <w:tmpl w:val="03B02AB1"/>
    <w:lvl w:ilvl="0" w:tentative="0">
      <w:start w:val="1"/>
      <w:numFmt w:val="decimalEnclosedCircleChinese"/>
      <w:suff w:val="nothing"/>
      <w:lvlText w:val="%1　"/>
      <w:lvlJc w:val="left"/>
      <w:pPr>
        <w:ind w:left="0" w:firstLine="400"/>
      </w:pPr>
    </w:lvl>
  </w:abstractNum>
  <w:abstractNum w:abstractNumId="20">
    <w:nsid w:val="03B86AFB"/>
    <w:multiLevelType w:val="singleLevel"/>
    <w:tmpl w:val="03B86AFB"/>
    <w:lvl w:ilvl="0" w:tentative="0">
      <w:start w:val="1"/>
      <w:numFmt w:val="decimalEnclosedCircleChinese"/>
      <w:suff w:val="nothing"/>
      <w:lvlText w:val="%1　"/>
      <w:lvlJc w:val="left"/>
      <w:pPr>
        <w:ind w:left="0" w:firstLine="400"/>
      </w:pPr>
      <w:rPr>
        <w:rFonts w:hint="eastAsia"/>
        <w:lang w:val="en-US"/>
      </w:rPr>
    </w:lvl>
  </w:abstractNum>
  <w:abstractNum w:abstractNumId="21">
    <w:nsid w:val="045C6CDD"/>
    <w:multiLevelType w:val="multilevel"/>
    <w:tmpl w:val="045C6CDD"/>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2">
    <w:nsid w:val="0C886773"/>
    <w:multiLevelType w:val="multilevel"/>
    <w:tmpl w:val="0C886773"/>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3">
    <w:nsid w:val="0F7D6AFC"/>
    <w:multiLevelType w:val="singleLevel"/>
    <w:tmpl w:val="0F7D6AFC"/>
    <w:lvl w:ilvl="0" w:tentative="0">
      <w:start w:val="1"/>
      <w:numFmt w:val="decimalEnclosedCircleChinese"/>
      <w:suff w:val="nothing"/>
      <w:lvlText w:val="%1　"/>
      <w:lvlJc w:val="left"/>
      <w:pPr>
        <w:ind w:left="0" w:firstLine="400"/>
      </w:pPr>
      <w:rPr>
        <w:rFonts w:hint="eastAsia"/>
      </w:rPr>
    </w:lvl>
  </w:abstractNum>
  <w:abstractNum w:abstractNumId="24">
    <w:nsid w:val="0FAE41A4"/>
    <w:multiLevelType w:val="multilevel"/>
    <w:tmpl w:val="0FAE41A4"/>
    <w:lvl w:ilvl="0" w:tentative="0">
      <w:start w:val="1"/>
      <w:numFmt w:val="lowerLetter"/>
      <w:lvlText w:val="%1."/>
      <w:lvlJc w:val="left"/>
      <w:pPr>
        <w:ind w:left="846" w:hanging="420"/>
      </w:pPr>
      <w:rPr>
        <w:rFonts w:hint="default"/>
      </w:rPr>
    </w:lvl>
    <w:lvl w:ilvl="1" w:tentative="0">
      <w:start w:val="1"/>
      <w:numFmt w:val="lowerLetter"/>
      <w:lvlText w:val="%2)"/>
      <w:lvlJc w:val="left"/>
      <w:pPr>
        <w:ind w:left="1266" w:hanging="420"/>
      </w:pPr>
    </w:lvl>
    <w:lvl w:ilvl="2" w:tentative="0">
      <w:start w:val="1"/>
      <w:numFmt w:val="lowerRoman"/>
      <w:lvlText w:val="%3."/>
      <w:lvlJc w:val="right"/>
      <w:pPr>
        <w:ind w:left="1686" w:hanging="420"/>
      </w:pPr>
    </w:lvl>
    <w:lvl w:ilvl="3" w:tentative="0">
      <w:start w:val="1"/>
      <w:numFmt w:val="decimal"/>
      <w:lvlText w:val="%4."/>
      <w:lvlJc w:val="left"/>
      <w:pPr>
        <w:ind w:left="2106" w:hanging="420"/>
      </w:pPr>
    </w:lvl>
    <w:lvl w:ilvl="4" w:tentative="0">
      <w:start w:val="1"/>
      <w:numFmt w:val="lowerLetter"/>
      <w:lvlText w:val="%5)"/>
      <w:lvlJc w:val="left"/>
      <w:pPr>
        <w:ind w:left="2526" w:hanging="420"/>
      </w:pPr>
    </w:lvl>
    <w:lvl w:ilvl="5" w:tentative="0">
      <w:start w:val="1"/>
      <w:numFmt w:val="lowerRoman"/>
      <w:lvlText w:val="%6."/>
      <w:lvlJc w:val="right"/>
      <w:pPr>
        <w:ind w:left="2946" w:hanging="420"/>
      </w:pPr>
    </w:lvl>
    <w:lvl w:ilvl="6" w:tentative="0">
      <w:start w:val="1"/>
      <w:numFmt w:val="decimal"/>
      <w:lvlText w:val="%7."/>
      <w:lvlJc w:val="left"/>
      <w:pPr>
        <w:ind w:left="3366" w:hanging="420"/>
      </w:pPr>
    </w:lvl>
    <w:lvl w:ilvl="7" w:tentative="0">
      <w:start w:val="1"/>
      <w:numFmt w:val="lowerLetter"/>
      <w:lvlText w:val="%8)"/>
      <w:lvlJc w:val="left"/>
      <w:pPr>
        <w:ind w:left="3786" w:hanging="420"/>
      </w:pPr>
    </w:lvl>
    <w:lvl w:ilvl="8" w:tentative="0">
      <w:start w:val="1"/>
      <w:numFmt w:val="lowerRoman"/>
      <w:lvlText w:val="%9."/>
      <w:lvlJc w:val="right"/>
      <w:pPr>
        <w:ind w:left="4206" w:hanging="420"/>
      </w:pPr>
    </w:lvl>
  </w:abstractNum>
  <w:abstractNum w:abstractNumId="25">
    <w:nsid w:val="10140013"/>
    <w:multiLevelType w:val="singleLevel"/>
    <w:tmpl w:val="10140013"/>
    <w:lvl w:ilvl="0" w:tentative="0">
      <w:start w:val="1"/>
      <w:numFmt w:val="decimalEnclosedCircleChinese"/>
      <w:suff w:val="nothing"/>
      <w:lvlText w:val="%1　"/>
      <w:lvlJc w:val="left"/>
      <w:pPr>
        <w:ind w:left="0" w:firstLine="400"/>
      </w:pPr>
      <w:rPr>
        <w:rFonts w:hint="eastAsia"/>
      </w:rPr>
    </w:lvl>
  </w:abstractNum>
  <w:abstractNum w:abstractNumId="26">
    <w:nsid w:val="118002D6"/>
    <w:multiLevelType w:val="singleLevel"/>
    <w:tmpl w:val="118002D6"/>
    <w:lvl w:ilvl="0" w:tentative="0">
      <w:start w:val="1"/>
      <w:numFmt w:val="decimalEnclosedCircleChinese"/>
      <w:suff w:val="nothing"/>
      <w:lvlText w:val="%1　"/>
      <w:lvlJc w:val="left"/>
      <w:pPr>
        <w:ind w:left="0" w:firstLine="400"/>
      </w:pPr>
    </w:lvl>
  </w:abstractNum>
  <w:abstractNum w:abstractNumId="27">
    <w:nsid w:val="11A46BDD"/>
    <w:multiLevelType w:val="multilevel"/>
    <w:tmpl w:val="11A46BDD"/>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8">
    <w:nsid w:val="13BC47A6"/>
    <w:multiLevelType w:val="singleLevel"/>
    <w:tmpl w:val="13BC47A6"/>
    <w:lvl w:ilvl="0" w:tentative="0">
      <w:start w:val="1"/>
      <w:numFmt w:val="decimalEnclosedCircleChinese"/>
      <w:suff w:val="nothing"/>
      <w:lvlText w:val="%1　"/>
      <w:lvlJc w:val="left"/>
      <w:pPr>
        <w:ind w:left="0" w:firstLine="400"/>
      </w:pPr>
      <w:rPr>
        <w:rFonts w:cs="Times New Roman"/>
      </w:rPr>
    </w:lvl>
  </w:abstractNum>
  <w:abstractNum w:abstractNumId="29">
    <w:nsid w:val="14117802"/>
    <w:multiLevelType w:val="singleLevel"/>
    <w:tmpl w:val="14117802"/>
    <w:lvl w:ilvl="0" w:tentative="0">
      <w:start w:val="1"/>
      <w:numFmt w:val="decimalEnclosedCircleChinese"/>
      <w:suff w:val="nothing"/>
      <w:lvlText w:val="%1　"/>
      <w:lvlJc w:val="left"/>
      <w:pPr>
        <w:ind w:left="0" w:firstLine="400"/>
      </w:pPr>
      <w:rPr>
        <w:rFonts w:hint="eastAsia"/>
      </w:rPr>
    </w:lvl>
  </w:abstractNum>
  <w:abstractNum w:abstractNumId="30">
    <w:nsid w:val="145678EB"/>
    <w:multiLevelType w:val="singleLevel"/>
    <w:tmpl w:val="145678EB"/>
    <w:lvl w:ilvl="0" w:tentative="0">
      <w:start w:val="1"/>
      <w:numFmt w:val="decimal"/>
      <w:suff w:val="nothing"/>
      <w:lvlText w:val="%1、"/>
      <w:lvlJc w:val="left"/>
    </w:lvl>
  </w:abstractNum>
  <w:abstractNum w:abstractNumId="31">
    <w:nsid w:val="15313E01"/>
    <w:multiLevelType w:val="singleLevel"/>
    <w:tmpl w:val="15313E01"/>
    <w:lvl w:ilvl="0" w:tentative="0">
      <w:start w:val="1"/>
      <w:numFmt w:val="decimalEnclosedCircleChinese"/>
      <w:suff w:val="nothing"/>
      <w:lvlText w:val="%1　"/>
      <w:lvlJc w:val="left"/>
      <w:pPr>
        <w:ind w:left="0" w:firstLine="400"/>
      </w:pPr>
      <w:rPr>
        <w:rFonts w:cs="Times New Roman"/>
      </w:rPr>
    </w:lvl>
  </w:abstractNum>
  <w:abstractNum w:abstractNumId="32">
    <w:nsid w:val="1913278D"/>
    <w:multiLevelType w:val="singleLevel"/>
    <w:tmpl w:val="1913278D"/>
    <w:lvl w:ilvl="0" w:tentative="0">
      <w:start w:val="1"/>
      <w:numFmt w:val="decimalEnclosedCircleChinese"/>
      <w:suff w:val="nothing"/>
      <w:lvlText w:val="%1　"/>
      <w:lvlJc w:val="left"/>
      <w:pPr>
        <w:ind w:left="0" w:firstLine="400"/>
      </w:pPr>
      <w:rPr>
        <w:rFonts w:hint="eastAsia"/>
      </w:rPr>
    </w:lvl>
  </w:abstractNum>
  <w:abstractNum w:abstractNumId="33">
    <w:nsid w:val="1CE127FC"/>
    <w:multiLevelType w:val="singleLevel"/>
    <w:tmpl w:val="1CE127FC"/>
    <w:lvl w:ilvl="0" w:tentative="0">
      <w:start w:val="1"/>
      <w:numFmt w:val="decimalEnclosedCircleChinese"/>
      <w:suff w:val="nothing"/>
      <w:lvlText w:val="%1　"/>
      <w:lvlJc w:val="left"/>
      <w:pPr>
        <w:ind w:left="20" w:firstLine="400"/>
      </w:pPr>
      <w:rPr>
        <w:rFonts w:hint="eastAsia"/>
      </w:rPr>
    </w:lvl>
  </w:abstractNum>
  <w:abstractNum w:abstractNumId="34">
    <w:nsid w:val="1EE315E4"/>
    <w:multiLevelType w:val="multilevel"/>
    <w:tmpl w:val="1EE315E4"/>
    <w:lvl w:ilvl="0" w:tentative="0">
      <w:start w:val="1"/>
      <w:numFmt w:val="chineseCountingThousand"/>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5">
    <w:nsid w:val="1FBA5196"/>
    <w:multiLevelType w:val="singleLevel"/>
    <w:tmpl w:val="1FBA5196"/>
    <w:lvl w:ilvl="0" w:tentative="0">
      <w:start w:val="1"/>
      <w:numFmt w:val="decimalEnclosedCircleChinese"/>
      <w:suff w:val="nothing"/>
      <w:lvlText w:val="%1　"/>
      <w:lvlJc w:val="left"/>
      <w:pPr>
        <w:ind w:left="0" w:firstLine="400"/>
      </w:pPr>
      <w:rPr>
        <w:rFonts w:hint="eastAsia"/>
        <w:lang w:val="en-US"/>
      </w:rPr>
    </w:lvl>
  </w:abstractNum>
  <w:abstractNum w:abstractNumId="36">
    <w:nsid w:val="2329215B"/>
    <w:multiLevelType w:val="multilevel"/>
    <w:tmpl w:val="2329215B"/>
    <w:lvl w:ilvl="0" w:tentative="0">
      <w:start w:val="1"/>
      <w:numFmt w:val="decimal"/>
      <w:lvlText w:val="%1."/>
      <w:lvlJc w:val="left"/>
      <w:pPr>
        <w:ind w:left="420" w:hanging="420"/>
      </w:pPr>
    </w:lvl>
    <w:lvl w:ilvl="1" w:tentative="0">
      <w:start w:val="1"/>
      <w:numFmt w:val="decimalEnclosedCircle"/>
      <w:lvlText w:val="%2"/>
      <w:lvlJc w:val="left"/>
      <w:pPr>
        <w:ind w:left="780" w:hanging="360"/>
      </w:pPr>
      <w:rPr>
        <w:rFonts w:hint="default"/>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7">
    <w:nsid w:val="247F67C1"/>
    <w:multiLevelType w:val="singleLevel"/>
    <w:tmpl w:val="247F67C1"/>
    <w:lvl w:ilvl="0" w:tentative="0">
      <w:start w:val="1"/>
      <w:numFmt w:val="decimalEnclosedCircleChinese"/>
      <w:suff w:val="nothing"/>
      <w:lvlText w:val="%1　"/>
      <w:lvlJc w:val="left"/>
      <w:pPr>
        <w:ind w:left="0" w:firstLine="400"/>
      </w:pPr>
    </w:lvl>
  </w:abstractNum>
  <w:abstractNum w:abstractNumId="38">
    <w:nsid w:val="287F54FE"/>
    <w:multiLevelType w:val="singleLevel"/>
    <w:tmpl w:val="287F54FE"/>
    <w:lvl w:ilvl="0" w:tentative="0">
      <w:start w:val="1"/>
      <w:numFmt w:val="decimalEnclosedCircleChinese"/>
      <w:suff w:val="nothing"/>
      <w:lvlText w:val="%1　"/>
      <w:lvlJc w:val="left"/>
      <w:pPr>
        <w:ind w:left="0" w:firstLine="400"/>
      </w:pPr>
      <w:rPr>
        <w:rFonts w:hint="eastAsia"/>
      </w:rPr>
    </w:lvl>
  </w:abstractNum>
  <w:abstractNum w:abstractNumId="39">
    <w:nsid w:val="2AE13562"/>
    <w:multiLevelType w:val="singleLevel"/>
    <w:tmpl w:val="2AE13562"/>
    <w:lvl w:ilvl="0" w:tentative="0">
      <w:start w:val="1"/>
      <w:numFmt w:val="decimalEnclosedCircleChinese"/>
      <w:suff w:val="nothing"/>
      <w:lvlText w:val="%1　"/>
      <w:lvlJc w:val="left"/>
      <w:pPr>
        <w:ind w:left="0" w:firstLine="400"/>
      </w:pPr>
      <w:rPr>
        <w:rFonts w:cs="Times New Roman"/>
      </w:rPr>
    </w:lvl>
  </w:abstractNum>
  <w:abstractNum w:abstractNumId="40">
    <w:nsid w:val="3213353C"/>
    <w:multiLevelType w:val="singleLevel"/>
    <w:tmpl w:val="3213353C"/>
    <w:lvl w:ilvl="0" w:tentative="0">
      <w:start w:val="1"/>
      <w:numFmt w:val="decimalEnclosedCircleChinese"/>
      <w:suff w:val="nothing"/>
      <w:lvlText w:val="%1　"/>
      <w:lvlJc w:val="left"/>
      <w:pPr>
        <w:ind w:left="0" w:firstLine="400"/>
      </w:pPr>
      <w:rPr>
        <w:rFonts w:hint="eastAsia"/>
      </w:rPr>
    </w:lvl>
  </w:abstractNum>
  <w:abstractNum w:abstractNumId="41">
    <w:nsid w:val="32787329"/>
    <w:multiLevelType w:val="multilevel"/>
    <w:tmpl w:val="32787329"/>
    <w:lvl w:ilvl="0" w:tentative="0">
      <w:start w:val="1"/>
      <w:numFmt w:val="decimalEnclosedCircleChinese"/>
      <w:lvlText w:val="%1　"/>
      <w:lvlJc w:val="left"/>
      <w:pPr>
        <w:ind w:left="820" w:hanging="420"/>
      </w:pPr>
      <w:rPr>
        <w:rFonts w:hint="eastAsia"/>
      </w:rPr>
    </w:lvl>
    <w:lvl w:ilvl="1" w:tentative="0">
      <w:start w:val="1"/>
      <w:numFmt w:val="lowerLetter"/>
      <w:lvlText w:val="%2)"/>
      <w:lvlJc w:val="left"/>
      <w:pPr>
        <w:ind w:left="1240" w:hanging="420"/>
      </w:pPr>
    </w:lvl>
    <w:lvl w:ilvl="2" w:tentative="0">
      <w:start w:val="1"/>
      <w:numFmt w:val="lowerRoman"/>
      <w:lvlText w:val="%3."/>
      <w:lvlJc w:val="right"/>
      <w:pPr>
        <w:ind w:left="1660" w:hanging="420"/>
      </w:pPr>
    </w:lvl>
    <w:lvl w:ilvl="3" w:tentative="0">
      <w:start w:val="1"/>
      <w:numFmt w:val="decimal"/>
      <w:lvlText w:val="%4."/>
      <w:lvlJc w:val="left"/>
      <w:pPr>
        <w:ind w:left="2080" w:hanging="420"/>
      </w:pPr>
    </w:lvl>
    <w:lvl w:ilvl="4" w:tentative="0">
      <w:start w:val="1"/>
      <w:numFmt w:val="lowerLetter"/>
      <w:lvlText w:val="%5)"/>
      <w:lvlJc w:val="left"/>
      <w:pPr>
        <w:ind w:left="2500" w:hanging="420"/>
      </w:pPr>
    </w:lvl>
    <w:lvl w:ilvl="5" w:tentative="0">
      <w:start w:val="1"/>
      <w:numFmt w:val="lowerRoman"/>
      <w:lvlText w:val="%6."/>
      <w:lvlJc w:val="right"/>
      <w:pPr>
        <w:ind w:left="2920" w:hanging="420"/>
      </w:pPr>
    </w:lvl>
    <w:lvl w:ilvl="6" w:tentative="0">
      <w:start w:val="1"/>
      <w:numFmt w:val="decimal"/>
      <w:lvlText w:val="%7."/>
      <w:lvlJc w:val="left"/>
      <w:pPr>
        <w:ind w:left="3340" w:hanging="420"/>
      </w:pPr>
    </w:lvl>
    <w:lvl w:ilvl="7" w:tentative="0">
      <w:start w:val="1"/>
      <w:numFmt w:val="lowerLetter"/>
      <w:lvlText w:val="%8)"/>
      <w:lvlJc w:val="left"/>
      <w:pPr>
        <w:ind w:left="3760" w:hanging="420"/>
      </w:pPr>
    </w:lvl>
    <w:lvl w:ilvl="8" w:tentative="0">
      <w:start w:val="1"/>
      <w:numFmt w:val="lowerRoman"/>
      <w:lvlText w:val="%9."/>
      <w:lvlJc w:val="right"/>
      <w:pPr>
        <w:ind w:left="4180" w:hanging="420"/>
      </w:pPr>
    </w:lvl>
  </w:abstractNum>
  <w:abstractNum w:abstractNumId="42">
    <w:nsid w:val="342A5B6A"/>
    <w:multiLevelType w:val="singleLevel"/>
    <w:tmpl w:val="342A5B6A"/>
    <w:lvl w:ilvl="0" w:tentative="0">
      <w:start w:val="1"/>
      <w:numFmt w:val="lowerLetter"/>
      <w:lvlText w:val="%1."/>
      <w:lvlJc w:val="left"/>
      <w:pPr>
        <w:ind w:left="425" w:hanging="425"/>
      </w:pPr>
      <w:rPr>
        <w:rFonts w:hint="default"/>
      </w:rPr>
    </w:lvl>
  </w:abstractNum>
  <w:abstractNum w:abstractNumId="43">
    <w:nsid w:val="34B25666"/>
    <w:multiLevelType w:val="singleLevel"/>
    <w:tmpl w:val="34B25666"/>
    <w:lvl w:ilvl="0" w:tentative="0">
      <w:start w:val="1"/>
      <w:numFmt w:val="lowerLetter"/>
      <w:lvlText w:val="%1."/>
      <w:lvlJc w:val="left"/>
      <w:pPr>
        <w:ind w:left="425" w:hanging="425"/>
      </w:pPr>
      <w:rPr>
        <w:rFonts w:hint="default"/>
      </w:rPr>
    </w:lvl>
  </w:abstractNum>
  <w:abstractNum w:abstractNumId="44">
    <w:nsid w:val="35567492"/>
    <w:multiLevelType w:val="multilevel"/>
    <w:tmpl w:val="35567492"/>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5">
    <w:nsid w:val="36D55821"/>
    <w:multiLevelType w:val="singleLevel"/>
    <w:tmpl w:val="36D55821"/>
    <w:lvl w:ilvl="0" w:tentative="0">
      <w:start w:val="1"/>
      <w:numFmt w:val="decimalEnclosedCircleChinese"/>
      <w:suff w:val="nothing"/>
      <w:lvlText w:val="%1　"/>
      <w:lvlJc w:val="left"/>
      <w:pPr>
        <w:ind w:left="0" w:firstLine="400"/>
      </w:pPr>
      <w:rPr>
        <w:rFonts w:cs="Times New Roman"/>
      </w:rPr>
    </w:lvl>
  </w:abstractNum>
  <w:abstractNum w:abstractNumId="46">
    <w:nsid w:val="376442E7"/>
    <w:multiLevelType w:val="singleLevel"/>
    <w:tmpl w:val="376442E7"/>
    <w:lvl w:ilvl="0" w:tentative="0">
      <w:start w:val="1"/>
      <w:numFmt w:val="decimalEnclosedCircleChinese"/>
      <w:suff w:val="nothing"/>
      <w:lvlText w:val="%1　"/>
      <w:lvlJc w:val="left"/>
      <w:pPr>
        <w:ind w:left="0" w:firstLine="400"/>
      </w:pPr>
      <w:rPr>
        <w:rFonts w:hint="eastAsia"/>
      </w:rPr>
    </w:lvl>
  </w:abstractNum>
  <w:abstractNum w:abstractNumId="47">
    <w:nsid w:val="38415516"/>
    <w:multiLevelType w:val="singleLevel"/>
    <w:tmpl w:val="38415516"/>
    <w:lvl w:ilvl="0" w:tentative="0">
      <w:start w:val="1"/>
      <w:numFmt w:val="decimalEnclosedCircleChinese"/>
      <w:suff w:val="nothing"/>
      <w:lvlText w:val="%1　"/>
      <w:lvlJc w:val="left"/>
      <w:pPr>
        <w:ind w:left="0" w:firstLine="400"/>
      </w:pPr>
      <w:rPr>
        <w:rFonts w:hint="eastAsia"/>
        <w:lang w:val="en-US"/>
      </w:rPr>
    </w:lvl>
  </w:abstractNum>
  <w:abstractNum w:abstractNumId="48">
    <w:nsid w:val="3BB70BB1"/>
    <w:multiLevelType w:val="multilevel"/>
    <w:tmpl w:val="3BB70BB1"/>
    <w:lvl w:ilvl="0" w:tentative="0">
      <w:start w:val="1"/>
      <w:numFmt w:val="decimalEnclosedCircleChinese"/>
      <w:lvlText w:val="%1　"/>
      <w:lvlJc w:val="left"/>
      <w:pPr>
        <w:ind w:left="820" w:hanging="420"/>
      </w:pPr>
      <w:rPr>
        <w:rFonts w:hint="eastAsia"/>
      </w:rPr>
    </w:lvl>
    <w:lvl w:ilvl="1" w:tentative="0">
      <w:start w:val="1"/>
      <w:numFmt w:val="lowerLetter"/>
      <w:lvlText w:val="%2)"/>
      <w:lvlJc w:val="left"/>
      <w:pPr>
        <w:ind w:left="1240" w:hanging="420"/>
      </w:pPr>
    </w:lvl>
    <w:lvl w:ilvl="2" w:tentative="0">
      <w:start w:val="1"/>
      <w:numFmt w:val="lowerRoman"/>
      <w:lvlText w:val="%3."/>
      <w:lvlJc w:val="right"/>
      <w:pPr>
        <w:ind w:left="1660" w:hanging="420"/>
      </w:pPr>
    </w:lvl>
    <w:lvl w:ilvl="3" w:tentative="0">
      <w:start w:val="1"/>
      <w:numFmt w:val="decimal"/>
      <w:lvlText w:val="%4."/>
      <w:lvlJc w:val="left"/>
      <w:pPr>
        <w:ind w:left="2080" w:hanging="420"/>
      </w:pPr>
    </w:lvl>
    <w:lvl w:ilvl="4" w:tentative="0">
      <w:start w:val="1"/>
      <w:numFmt w:val="lowerLetter"/>
      <w:lvlText w:val="%5)"/>
      <w:lvlJc w:val="left"/>
      <w:pPr>
        <w:ind w:left="2500" w:hanging="420"/>
      </w:pPr>
    </w:lvl>
    <w:lvl w:ilvl="5" w:tentative="0">
      <w:start w:val="1"/>
      <w:numFmt w:val="lowerRoman"/>
      <w:lvlText w:val="%6."/>
      <w:lvlJc w:val="right"/>
      <w:pPr>
        <w:ind w:left="2920" w:hanging="420"/>
      </w:pPr>
    </w:lvl>
    <w:lvl w:ilvl="6" w:tentative="0">
      <w:start w:val="1"/>
      <w:numFmt w:val="decimal"/>
      <w:lvlText w:val="%7."/>
      <w:lvlJc w:val="left"/>
      <w:pPr>
        <w:ind w:left="3340" w:hanging="420"/>
      </w:pPr>
    </w:lvl>
    <w:lvl w:ilvl="7" w:tentative="0">
      <w:start w:val="1"/>
      <w:numFmt w:val="lowerLetter"/>
      <w:lvlText w:val="%8)"/>
      <w:lvlJc w:val="left"/>
      <w:pPr>
        <w:ind w:left="3760" w:hanging="420"/>
      </w:pPr>
    </w:lvl>
    <w:lvl w:ilvl="8" w:tentative="0">
      <w:start w:val="1"/>
      <w:numFmt w:val="lowerRoman"/>
      <w:lvlText w:val="%9."/>
      <w:lvlJc w:val="right"/>
      <w:pPr>
        <w:ind w:left="4180" w:hanging="420"/>
      </w:pPr>
    </w:lvl>
  </w:abstractNum>
  <w:abstractNum w:abstractNumId="49">
    <w:nsid w:val="3C5A0592"/>
    <w:multiLevelType w:val="singleLevel"/>
    <w:tmpl w:val="3C5A0592"/>
    <w:lvl w:ilvl="0" w:tentative="0">
      <w:start w:val="1"/>
      <w:numFmt w:val="decimalEnclosedCircleChinese"/>
      <w:suff w:val="nothing"/>
      <w:lvlText w:val="%1　"/>
      <w:lvlJc w:val="left"/>
      <w:pPr>
        <w:ind w:left="0" w:firstLine="400"/>
      </w:pPr>
      <w:rPr>
        <w:rFonts w:hint="eastAsia"/>
      </w:rPr>
    </w:lvl>
  </w:abstractNum>
  <w:abstractNum w:abstractNumId="50">
    <w:nsid w:val="42E17886"/>
    <w:multiLevelType w:val="singleLevel"/>
    <w:tmpl w:val="42E17886"/>
    <w:lvl w:ilvl="0" w:tentative="0">
      <w:start w:val="1"/>
      <w:numFmt w:val="decimalEnclosedCircleChinese"/>
      <w:suff w:val="nothing"/>
      <w:lvlText w:val="%1　"/>
      <w:lvlJc w:val="left"/>
      <w:pPr>
        <w:ind w:left="0" w:firstLine="400"/>
      </w:pPr>
    </w:lvl>
  </w:abstractNum>
  <w:abstractNum w:abstractNumId="51">
    <w:nsid w:val="44484BC5"/>
    <w:multiLevelType w:val="singleLevel"/>
    <w:tmpl w:val="44484BC5"/>
    <w:lvl w:ilvl="0" w:tentative="0">
      <w:start w:val="1"/>
      <w:numFmt w:val="decimalEnclosedCircleChinese"/>
      <w:suff w:val="nothing"/>
      <w:lvlText w:val="%1　"/>
      <w:lvlJc w:val="left"/>
      <w:pPr>
        <w:ind w:left="0" w:firstLine="400"/>
      </w:pPr>
      <w:rPr>
        <w:rFonts w:cs="Times New Roman"/>
      </w:rPr>
    </w:lvl>
  </w:abstractNum>
  <w:abstractNum w:abstractNumId="52">
    <w:nsid w:val="459768FC"/>
    <w:multiLevelType w:val="singleLevel"/>
    <w:tmpl w:val="459768FC"/>
    <w:lvl w:ilvl="0" w:tentative="0">
      <w:start w:val="1"/>
      <w:numFmt w:val="decimalEnclosedCircleChinese"/>
      <w:suff w:val="nothing"/>
      <w:lvlText w:val="%1　"/>
      <w:lvlJc w:val="left"/>
      <w:pPr>
        <w:ind w:left="0" w:firstLine="400"/>
      </w:pPr>
      <w:rPr>
        <w:rFonts w:hint="eastAsia"/>
        <w:lang w:val="en-US"/>
      </w:rPr>
    </w:lvl>
  </w:abstractNum>
  <w:abstractNum w:abstractNumId="53">
    <w:nsid w:val="4653225F"/>
    <w:multiLevelType w:val="multilevel"/>
    <w:tmpl w:val="4653225F"/>
    <w:lvl w:ilvl="0" w:tentative="0">
      <w:start w:val="1"/>
      <w:numFmt w:val="decimalEnclosedCircleChinese"/>
      <w:lvlText w:val="%1　"/>
      <w:lvlJc w:val="left"/>
      <w:pPr>
        <w:ind w:left="820" w:hanging="420"/>
      </w:pPr>
      <w:rPr>
        <w:rFonts w:hint="eastAsia"/>
      </w:rPr>
    </w:lvl>
    <w:lvl w:ilvl="1" w:tentative="0">
      <w:start w:val="1"/>
      <w:numFmt w:val="lowerLetter"/>
      <w:lvlText w:val="%2)"/>
      <w:lvlJc w:val="left"/>
      <w:pPr>
        <w:ind w:left="1240" w:hanging="420"/>
      </w:pPr>
    </w:lvl>
    <w:lvl w:ilvl="2" w:tentative="0">
      <w:start w:val="1"/>
      <w:numFmt w:val="lowerRoman"/>
      <w:lvlText w:val="%3."/>
      <w:lvlJc w:val="right"/>
      <w:pPr>
        <w:ind w:left="1660" w:hanging="420"/>
      </w:pPr>
    </w:lvl>
    <w:lvl w:ilvl="3" w:tentative="0">
      <w:start w:val="1"/>
      <w:numFmt w:val="decimal"/>
      <w:lvlText w:val="%4."/>
      <w:lvlJc w:val="left"/>
      <w:pPr>
        <w:ind w:left="2080" w:hanging="420"/>
      </w:pPr>
    </w:lvl>
    <w:lvl w:ilvl="4" w:tentative="0">
      <w:start w:val="1"/>
      <w:numFmt w:val="lowerLetter"/>
      <w:lvlText w:val="%5)"/>
      <w:lvlJc w:val="left"/>
      <w:pPr>
        <w:ind w:left="2500" w:hanging="420"/>
      </w:pPr>
    </w:lvl>
    <w:lvl w:ilvl="5" w:tentative="0">
      <w:start w:val="1"/>
      <w:numFmt w:val="lowerRoman"/>
      <w:lvlText w:val="%6."/>
      <w:lvlJc w:val="right"/>
      <w:pPr>
        <w:ind w:left="2920" w:hanging="420"/>
      </w:pPr>
    </w:lvl>
    <w:lvl w:ilvl="6" w:tentative="0">
      <w:start w:val="1"/>
      <w:numFmt w:val="decimal"/>
      <w:lvlText w:val="%7."/>
      <w:lvlJc w:val="left"/>
      <w:pPr>
        <w:ind w:left="3340" w:hanging="420"/>
      </w:pPr>
    </w:lvl>
    <w:lvl w:ilvl="7" w:tentative="0">
      <w:start w:val="1"/>
      <w:numFmt w:val="lowerLetter"/>
      <w:lvlText w:val="%8)"/>
      <w:lvlJc w:val="left"/>
      <w:pPr>
        <w:ind w:left="3760" w:hanging="420"/>
      </w:pPr>
    </w:lvl>
    <w:lvl w:ilvl="8" w:tentative="0">
      <w:start w:val="1"/>
      <w:numFmt w:val="lowerRoman"/>
      <w:lvlText w:val="%9."/>
      <w:lvlJc w:val="right"/>
      <w:pPr>
        <w:ind w:left="4180" w:hanging="420"/>
      </w:pPr>
    </w:lvl>
  </w:abstractNum>
  <w:abstractNum w:abstractNumId="54">
    <w:nsid w:val="48202E57"/>
    <w:multiLevelType w:val="singleLevel"/>
    <w:tmpl w:val="48202E57"/>
    <w:lvl w:ilvl="0" w:tentative="0">
      <w:start w:val="1"/>
      <w:numFmt w:val="decimalEnclosedCircleChinese"/>
      <w:suff w:val="nothing"/>
      <w:lvlText w:val="%1　"/>
      <w:lvlJc w:val="left"/>
      <w:pPr>
        <w:ind w:left="0" w:firstLine="400"/>
      </w:pPr>
      <w:rPr>
        <w:rFonts w:cs="Times New Roman"/>
      </w:rPr>
    </w:lvl>
  </w:abstractNum>
  <w:abstractNum w:abstractNumId="55">
    <w:nsid w:val="4AFC7754"/>
    <w:multiLevelType w:val="singleLevel"/>
    <w:tmpl w:val="4AFC7754"/>
    <w:lvl w:ilvl="0" w:tentative="0">
      <w:start w:val="1"/>
      <w:numFmt w:val="decimalEnclosedCircleChinese"/>
      <w:suff w:val="nothing"/>
      <w:lvlText w:val="%1　"/>
      <w:lvlJc w:val="left"/>
      <w:pPr>
        <w:ind w:left="0" w:firstLine="400"/>
      </w:pPr>
      <w:rPr>
        <w:rFonts w:hint="eastAsia"/>
        <w:lang w:val="en-US"/>
      </w:rPr>
    </w:lvl>
  </w:abstractNum>
  <w:abstractNum w:abstractNumId="56">
    <w:nsid w:val="4E6D606E"/>
    <w:multiLevelType w:val="multilevel"/>
    <w:tmpl w:val="4E6D606E"/>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7">
    <w:nsid w:val="4E8E6BC1"/>
    <w:multiLevelType w:val="singleLevel"/>
    <w:tmpl w:val="4E8E6BC1"/>
    <w:lvl w:ilvl="0" w:tentative="0">
      <w:start w:val="1"/>
      <w:numFmt w:val="decimalEnclosedCircleChinese"/>
      <w:suff w:val="nothing"/>
      <w:lvlText w:val="%1　"/>
      <w:lvlJc w:val="left"/>
      <w:pPr>
        <w:ind w:left="0" w:firstLine="400"/>
      </w:pPr>
      <w:rPr>
        <w:rFonts w:hint="eastAsia"/>
        <w:lang w:val="en-US"/>
      </w:rPr>
    </w:lvl>
  </w:abstractNum>
  <w:abstractNum w:abstractNumId="58">
    <w:nsid w:val="4EE84FDA"/>
    <w:multiLevelType w:val="singleLevel"/>
    <w:tmpl w:val="4EE84FDA"/>
    <w:lvl w:ilvl="0" w:tentative="0">
      <w:start w:val="1"/>
      <w:numFmt w:val="decimalEnclosedCircleChinese"/>
      <w:suff w:val="nothing"/>
      <w:lvlText w:val="%1　"/>
      <w:lvlJc w:val="left"/>
      <w:pPr>
        <w:ind w:left="0" w:firstLine="400"/>
      </w:pPr>
      <w:rPr>
        <w:rFonts w:hint="eastAsia"/>
      </w:rPr>
    </w:lvl>
  </w:abstractNum>
  <w:abstractNum w:abstractNumId="59">
    <w:nsid w:val="50D65CBC"/>
    <w:multiLevelType w:val="multilevel"/>
    <w:tmpl w:val="50D65CBC"/>
    <w:lvl w:ilvl="0" w:tentative="0">
      <w:start w:val="1"/>
      <w:numFmt w:val="decimal"/>
      <w:lvlText w:val="%1."/>
      <w:lvlJc w:val="left"/>
      <w:pPr>
        <w:ind w:left="420" w:hanging="420"/>
      </w:pPr>
    </w:lvl>
    <w:lvl w:ilvl="1" w:tentative="0">
      <w:start w:val="1"/>
      <w:numFmt w:val="decimalEnclosedCircle"/>
      <w:lvlText w:val="%2"/>
      <w:lvlJc w:val="left"/>
      <w:pPr>
        <w:ind w:left="780" w:hanging="360"/>
      </w:pPr>
      <w:rPr>
        <w:rFonts w:hint="default"/>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60">
    <w:nsid w:val="52387045"/>
    <w:multiLevelType w:val="multilevel"/>
    <w:tmpl w:val="52387045"/>
    <w:lvl w:ilvl="0" w:tentative="0">
      <w:start w:val="2"/>
      <w:numFmt w:val="decimal"/>
      <w:lvlText w:val="%1."/>
      <w:lvlJc w:val="left"/>
      <w:pPr>
        <w:ind w:left="420" w:hanging="420"/>
      </w:pPr>
      <w:rPr>
        <w:rFonts w:hint="eastAsia"/>
      </w:rPr>
    </w:lvl>
    <w:lvl w:ilvl="1" w:tentative="0">
      <w:start w:val="1"/>
      <w:numFmt w:val="lowerLetter"/>
      <w:lvlText w:val="%2)"/>
      <w:lvlJc w:val="left"/>
      <w:pPr>
        <w:ind w:left="840" w:hanging="420"/>
      </w:pPr>
      <w:rPr>
        <w:rFonts w:hint="eastAsia"/>
      </w:rPr>
    </w:lvl>
    <w:lvl w:ilvl="2" w:tentative="0">
      <w:start w:val="1"/>
      <w:numFmt w:val="lowerRoman"/>
      <w:lvlText w:val="%3."/>
      <w:lvlJc w:val="right"/>
      <w:pPr>
        <w:ind w:left="1260" w:hanging="420"/>
      </w:pPr>
      <w:rPr>
        <w:rFonts w:hint="eastAsia"/>
      </w:rPr>
    </w:lvl>
    <w:lvl w:ilvl="3" w:tentative="0">
      <w:start w:val="1"/>
      <w:numFmt w:val="decimal"/>
      <w:lvlText w:val="%4."/>
      <w:lvlJc w:val="left"/>
      <w:pPr>
        <w:ind w:left="1680" w:hanging="420"/>
      </w:pPr>
      <w:rPr>
        <w:rFonts w:hint="eastAsia"/>
      </w:rPr>
    </w:lvl>
    <w:lvl w:ilvl="4" w:tentative="0">
      <w:start w:val="1"/>
      <w:numFmt w:val="lowerLetter"/>
      <w:lvlText w:val="%5)"/>
      <w:lvlJc w:val="left"/>
      <w:pPr>
        <w:ind w:left="2100" w:hanging="420"/>
      </w:pPr>
      <w:rPr>
        <w:rFonts w:hint="eastAsia"/>
      </w:rPr>
    </w:lvl>
    <w:lvl w:ilvl="5" w:tentative="0">
      <w:start w:val="1"/>
      <w:numFmt w:val="lowerRoman"/>
      <w:lvlText w:val="%6."/>
      <w:lvlJc w:val="right"/>
      <w:pPr>
        <w:ind w:left="2520" w:hanging="420"/>
      </w:pPr>
      <w:rPr>
        <w:rFonts w:hint="eastAsia"/>
      </w:rPr>
    </w:lvl>
    <w:lvl w:ilvl="6" w:tentative="0">
      <w:start w:val="1"/>
      <w:numFmt w:val="decimal"/>
      <w:lvlText w:val="%7."/>
      <w:lvlJc w:val="left"/>
      <w:pPr>
        <w:ind w:left="2940" w:hanging="420"/>
      </w:pPr>
      <w:rPr>
        <w:rFonts w:hint="eastAsia"/>
      </w:rPr>
    </w:lvl>
    <w:lvl w:ilvl="7" w:tentative="0">
      <w:start w:val="1"/>
      <w:numFmt w:val="lowerLetter"/>
      <w:lvlText w:val="%8)"/>
      <w:lvlJc w:val="left"/>
      <w:pPr>
        <w:ind w:left="3360" w:hanging="420"/>
      </w:pPr>
      <w:rPr>
        <w:rFonts w:hint="eastAsia"/>
      </w:rPr>
    </w:lvl>
    <w:lvl w:ilvl="8" w:tentative="0">
      <w:start w:val="1"/>
      <w:numFmt w:val="lowerRoman"/>
      <w:lvlText w:val="%9."/>
      <w:lvlJc w:val="right"/>
      <w:pPr>
        <w:ind w:left="3780" w:hanging="420"/>
      </w:pPr>
      <w:rPr>
        <w:rFonts w:hint="eastAsia"/>
      </w:rPr>
    </w:lvl>
  </w:abstractNum>
  <w:abstractNum w:abstractNumId="61">
    <w:nsid w:val="52A30708"/>
    <w:multiLevelType w:val="multilevel"/>
    <w:tmpl w:val="52A30708"/>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62">
    <w:nsid w:val="541C7C43"/>
    <w:multiLevelType w:val="singleLevel"/>
    <w:tmpl w:val="541C7C43"/>
    <w:lvl w:ilvl="0" w:tentative="0">
      <w:start w:val="1"/>
      <w:numFmt w:val="decimalEnclosedCircleChinese"/>
      <w:suff w:val="nothing"/>
      <w:lvlText w:val="%1　"/>
      <w:lvlJc w:val="left"/>
      <w:pPr>
        <w:ind w:left="0" w:firstLine="400"/>
      </w:pPr>
      <w:rPr>
        <w:rFonts w:cs="Times New Roman"/>
      </w:rPr>
    </w:lvl>
  </w:abstractNum>
  <w:abstractNum w:abstractNumId="63">
    <w:nsid w:val="57226AEC"/>
    <w:multiLevelType w:val="singleLevel"/>
    <w:tmpl w:val="57226AEC"/>
    <w:lvl w:ilvl="0" w:tentative="0">
      <w:start w:val="1"/>
      <w:numFmt w:val="decimalEnclosedCircleChinese"/>
      <w:suff w:val="nothing"/>
      <w:lvlText w:val="%1　"/>
      <w:lvlJc w:val="left"/>
      <w:pPr>
        <w:ind w:left="0" w:firstLine="400"/>
      </w:pPr>
    </w:lvl>
  </w:abstractNum>
  <w:abstractNum w:abstractNumId="64">
    <w:nsid w:val="58A6327D"/>
    <w:multiLevelType w:val="singleLevel"/>
    <w:tmpl w:val="58A6327D"/>
    <w:lvl w:ilvl="0" w:tentative="0">
      <w:start w:val="1"/>
      <w:numFmt w:val="decimalEnclosedCircleChinese"/>
      <w:suff w:val="nothing"/>
      <w:lvlText w:val="%1　"/>
      <w:lvlJc w:val="left"/>
      <w:pPr>
        <w:ind w:left="0" w:firstLine="400"/>
      </w:pPr>
      <w:rPr>
        <w:rFonts w:hint="eastAsia"/>
        <w:lang w:val="en-US"/>
      </w:rPr>
    </w:lvl>
  </w:abstractNum>
  <w:abstractNum w:abstractNumId="65">
    <w:nsid w:val="58BE4464"/>
    <w:multiLevelType w:val="multilevel"/>
    <w:tmpl w:val="58BE4464"/>
    <w:lvl w:ilvl="0" w:tentative="0">
      <w:start w:val="1"/>
      <w:numFmt w:val="decimal"/>
      <w:lvlText w:val="%1."/>
      <w:lvlJc w:val="left"/>
      <w:pPr>
        <w:tabs>
          <w:tab w:val="left" w:pos="420"/>
        </w:tabs>
        <w:ind w:left="840" w:hanging="420"/>
      </w:pPr>
    </w:lvl>
    <w:lvl w:ilvl="1" w:tentative="0">
      <w:start w:val="1"/>
      <w:numFmt w:val="lowerLetter"/>
      <w:lvlText w:val="%2)"/>
      <w:lvlJc w:val="left"/>
      <w:pPr>
        <w:tabs>
          <w:tab w:val="left" w:pos="420"/>
        </w:tabs>
        <w:ind w:left="1260" w:hanging="420"/>
      </w:pPr>
    </w:lvl>
    <w:lvl w:ilvl="2" w:tentative="0">
      <w:start w:val="1"/>
      <w:numFmt w:val="lowerRoman"/>
      <w:lvlText w:val="%3."/>
      <w:lvlJc w:val="right"/>
      <w:pPr>
        <w:tabs>
          <w:tab w:val="left" w:pos="420"/>
        </w:tabs>
        <w:ind w:left="1680" w:hanging="420"/>
      </w:pPr>
    </w:lvl>
    <w:lvl w:ilvl="3" w:tentative="0">
      <w:start w:val="1"/>
      <w:numFmt w:val="decimal"/>
      <w:lvlText w:val="%4."/>
      <w:lvlJc w:val="left"/>
      <w:pPr>
        <w:tabs>
          <w:tab w:val="left" w:pos="420"/>
        </w:tabs>
        <w:ind w:left="2100" w:hanging="420"/>
      </w:pPr>
    </w:lvl>
    <w:lvl w:ilvl="4" w:tentative="0">
      <w:start w:val="1"/>
      <w:numFmt w:val="lowerLetter"/>
      <w:lvlText w:val="%5)"/>
      <w:lvlJc w:val="left"/>
      <w:pPr>
        <w:tabs>
          <w:tab w:val="left" w:pos="420"/>
        </w:tabs>
        <w:ind w:left="2520" w:hanging="420"/>
      </w:pPr>
    </w:lvl>
    <w:lvl w:ilvl="5" w:tentative="0">
      <w:start w:val="1"/>
      <w:numFmt w:val="lowerRoman"/>
      <w:lvlText w:val="%6."/>
      <w:lvlJc w:val="right"/>
      <w:pPr>
        <w:tabs>
          <w:tab w:val="left" w:pos="420"/>
        </w:tabs>
        <w:ind w:left="2940" w:hanging="420"/>
      </w:pPr>
    </w:lvl>
    <w:lvl w:ilvl="6" w:tentative="0">
      <w:start w:val="1"/>
      <w:numFmt w:val="decimal"/>
      <w:lvlText w:val="%7."/>
      <w:lvlJc w:val="left"/>
      <w:pPr>
        <w:tabs>
          <w:tab w:val="left" w:pos="420"/>
        </w:tabs>
        <w:ind w:left="3360" w:hanging="420"/>
      </w:pPr>
    </w:lvl>
    <w:lvl w:ilvl="7" w:tentative="0">
      <w:start w:val="1"/>
      <w:numFmt w:val="lowerLetter"/>
      <w:lvlText w:val="%8)"/>
      <w:lvlJc w:val="left"/>
      <w:pPr>
        <w:tabs>
          <w:tab w:val="left" w:pos="420"/>
        </w:tabs>
        <w:ind w:left="3780" w:hanging="420"/>
      </w:pPr>
    </w:lvl>
    <w:lvl w:ilvl="8" w:tentative="0">
      <w:start w:val="1"/>
      <w:numFmt w:val="lowerRoman"/>
      <w:lvlText w:val="%9."/>
      <w:lvlJc w:val="right"/>
      <w:pPr>
        <w:tabs>
          <w:tab w:val="left" w:pos="420"/>
        </w:tabs>
        <w:ind w:left="4200" w:hanging="420"/>
      </w:pPr>
    </w:lvl>
  </w:abstractNum>
  <w:abstractNum w:abstractNumId="66">
    <w:nsid w:val="5A0533C5"/>
    <w:multiLevelType w:val="singleLevel"/>
    <w:tmpl w:val="5A0533C5"/>
    <w:lvl w:ilvl="0" w:tentative="0">
      <w:start w:val="1"/>
      <w:numFmt w:val="decimalEnclosedCircleChinese"/>
      <w:suff w:val="nothing"/>
      <w:lvlText w:val="%1　"/>
      <w:lvlJc w:val="left"/>
      <w:pPr>
        <w:ind w:left="0" w:firstLine="400"/>
      </w:pPr>
      <w:rPr>
        <w:rFonts w:hint="eastAsia"/>
        <w:lang w:val="en-US"/>
      </w:rPr>
    </w:lvl>
  </w:abstractNum>
  <w:abstractNum w:abstractNumId="67">
    <w:nsid w:val="5A717338"/>
    <w:multiLevelType w:val="multilevel"/>
    <w:tmpl w:val="5A717338"/>
    <w:lvl w:ilvl="0" w:tentative="0">
      <w:start w:val="1"/>
      <w:numFmt w:val="lowerLetter"/>
      <w:lvlText w:val="%1."/>
      <w:lvlJc w:val="left"/>
      <w:pPr>
        <w:ind w:left="846" w:hanging="420"/>
      </w:pPr>
      <w:rPr>
        <w:rFonts w:hint="default"/>
      </w:rPr>
    </w:lvl>
    <w:lvl w:ilvl="1" w:tentative="0">
      <w:start w:val="1"/>
      <w:numFmt w:val="lowerLetter"/>
      <w:lvlText w:val="%2)"/>
      <w:lvlJc w:val="left"/>
      <w:pPr>
        <w:ind w:left="1266" w:hanging="420"/>
      </w:pPr>
    </w:lvl>
    <w:lvl w:ilvl="2" w:tentative="0">
      <w:start w:val="1"/>
      <w:numFmt w:val="lowerRoman"/>
      <w:lvlText w:val="%3."/>
      <w:lvlJc w:val="right"/>
      <w:pPr>
        <w:ind w:left="1686" w:hanging="420"/>
      </w:pPr>
    </w:lvl>
    <w:lvl w:ilvl="3" w:tentative="0">
      <w:start w:val="1"/>
      <w:numFmt w:val="decimal"/>
      <w:lvlText w:val="%4."/>
      <w:lvlJc w:val="left"/>
      <w:pPr>
        <w:ind w:left="2106" w:hanging="420"/>
      </w:pPr>
    </w:lvl>
    <w:lvl w:ilvl="4" w:tentative="0">
      <w:start w:val="1"/>
      <w:numFmt w:val="lowerLetter"/>
      <w:lvlText w:val="%5)"/>
      <w:lvlJc w:val="left"/>
      <w:pPr>
        <w:ind w:left="2526" w:hanging="420"/>
      </w:pPr>
    </w:lvl>
    <w:lvl w:ilvl="5" w:tentative="0">
      <w:start w:val="1"/>
      <w:numFmt w:val="lowerRoman"/>
      <w:lvlText w:val="%6."/>
      <w:lvlJc w:val="right"/>
      <w:pPr>
        <w:ind w:left="2946" w:hanging="420"/>
      </w:pPr>
    </w:lvl>
    <w:lvl w:ilvl="6" w:tentative="0">
      <w:start w:val="1"/>
      <w:numFmt w:val="decimal"/>
      <w:lvlText w:val="%7."/>
      <w:lvlJc w:val="left"/>
      <w:pPr>
        <w:ind w:left="3366" w:hanging="420"/>
      </w:pPr>
    </w:lvl>
    <w:lvl w:ilvl="7" w:tentative="0">
      <w:start w:val="1"/>
      <w:numFmt w:val="lowerLetter"/>
      <w:lvlText w:val="%8)"/>
      <w:lvlJc w:val="left"/>
      <w:pPr>
        <w:ind w:left="3786" w:hanging="420"/>
      </w:pPr>
    </w:lvl>
    <w:lvl w:ilvl="8" w:tentative="0">
      <w:start w:val="1"/>
      <w:numFmt w:val="lowerRoman"/>
      <w:lvlText w:val="%9."/>
      <w:lvlJc w:val="right"/>
      <w:pPr>
        <w:ind w:left="4206" w:hanging="420"/>
      </w:pPr>
    </w:lvl>
  </w:abstractNum>
  <w:abstractNum w:abstractNumId="68">
    <w:nsid w:val="5A791B97"/>
    <w:multiLevelType w:val="multilevel"/>
    <w:tmpl w:val="5A791B97"/>
    <w:lvl w:ilvl="0" w:tentative="0">
      <w:start w:val="2"/>
      <w:numFmt w:val="decimal"/>
      <w:suff w:val="nothing"/>
      <w:lvlText w:val="%1　"/>
      <w:lvlJc w:val="left"/>
      <w:pPr>
        <w:ind w:left="0" w:firstLine="40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69">
    <w:nsid w:val="5A99637B"/>
    <w:multiLevelType w:val="singleLevel"/>
    <w:tmpl w:val="5A99637B"/>
    <w:lvl w:ilvl="0" w:tentative="0">
      <w:start w:val="1"/>
      <w:numFmt w:val="decimalEnclosedCircleChinese"/>
      <w:suff w:val="nothing"/>
      <w:lvlText w:val="%1　"/>
      <w:lvlJc w:val="left"/>
      <w:pPr>
        <w:ind w:left="0" w:firstLine="400"/>
      </w:pPr>
      <w:rPr>
        <w:rFonts w:cs="Times New Roman"/>
      </w:rPr>
    </w:lvl>
  </w:abstractNum>
  <w:abstractNum w:abstractNumId="70">
    <w:nsid w:val="5E553130"/>
    <w:multiLevelType w:val="singleLevel"/>
    <w:tmpl w:val="5E553130"/>
    <w:lvl w:ilvl="0" w:tentative="0">
      <w:start w:val="1"/>
      <w:numFmt w:val="decimalEnclosedCircleChinese"/>
      <w:suff w:val="nothing"/>
      <w:lvlText w:val="%1　"/>
      <w:lvlJc w:val="left"/>
      <w:pPr>
        <w:ind w:left="0" w:firstLine="400"/>
      </w:pPr>
      <w:rPr>
        <w:rFonts w:hint="eastAsia"/>
        <w:lang w:val="en-US"/>
      </w:rPr>
    </w:lvl>
  </w:abstractNum>
  <w:abstractNum w:abstractNumId="71">
    <w:nsid w:val="5F8000D2"/>
    <w:multiLevelType w:val="multilevel"/>
    <w:tmpl w:val="5F8000D2"/>
    <w:lvl w:ilvl="0" w:tentative="0">
      <w:start w:val="1"/>
      <w:numFmt w:val="decimalEnclosedCircleChinese"/>
      <w:lvlText w:val="%1　"/>
      <w:lvlJc w:val="left"/>
      <w:pPr>
        <w:ind w:left="820" w:hanging="420"/>
      </w:pPr>
      <w:rPr>
        <w:rFonts w:hint="eastAsia"/>
      </w:rPr>
    </w:lvl>
    <w:lvl w:ilvl="1" w:tentative="0">
      <w:start w:val="1"/>
      <w:numFmt w:val="lowerLetter"/>
      <w:lvlText w:val="%2)"/>
      <w:lvlJc w:val="left"/>
      <w:pPr>
        <w:ind w:left="1240" w:hanging="420"/>
      </w:pPr>
    </w:lvl>
    <w:lvl w:ilvl="2" w:tentative="0">
      <w:start w:val="1"/>
      <w:numFmt w:val="lowerRoman"/>
      <w:lvlText w:val="%3."/>
      <w:lvlJc w:val="right"/>
      <w:pPr>
        <w:ind w:left="1660" w:hanging="420"/>
      </w:pPr>
    </w:lvl>
    <w:lvl w:ilvl="3" w:tentative="0">
      <w:start w:val="1"/>
      <w:numFmt w:val="decimal"/>
      <w:lvlText w:val="%4."/>
      <w:lvlJc w:val="left"/>
      <w:pPr>
        <w:ind w:left="2080" w:hanging="420"/>
      </w:pPr>
    </w:lvl>
    <w:lvl w:ilvl="4" w:tentative="0">
      <w:start w:val="1"/>
      <w:numFmt w:val="lowerLetter"/>
      <w:lvlText w:val="%5)"/>
      <w:lvlJc w:val="left"/>
      <w:pPr>
        <w:ind w:left="2500" w:hanging="420"/>
      </w:pPr>
    </w:lvl>
    <w:lvl w:ilvl="5" w:tentative="0">
      <w:start w:val="1"/>
      <w:numFmt w:val="lowerRoman"/>
      <w:lvlText w:val="%6."/>
      <w:lvlJc w:val="right"/>
      <w:pPr>
        <w:ind w:left="2920" w:hanging="420"/>
      </w:pPr>
    </w:lvl>
    <w:lvl w:ilvl="6" w:tentative="0">
      <w:start w:val="1"/>
      <w:numFmt w:val="decimal"/>
      <w:lvlText w:val="%7."/>
      <w:lvlJc w:val="left"/>
      <w:pPr>
        <w:ind w:left="3340" w:hanging="420"/>
      </w:pPr>
    </w:lvl>
    <w:lvl w:ilvl="7" w:tentative="0">
      <w:start w:val="1"/>
      <w:numFmt w:val="lowerLetter"/>
      <w:lvlText w:val="%8)"/>
      <w:lvlJc w:val="left"/>
      <w:pPr>
        <w:ind w:left="3760" w:hanging="420"/>
      </w:pPr>
    </w:lvl>
    <w:lvl w:ilvl="8" w:tentative="0">
      <w:start w:val="1"/>
      <w:numFmt w:val="lowerRoman"/>
      <w:lvlText w:val="%9."/>
      <w:lvlJc w:val="right"/>
      <w:pPr>
        <w:ind w:left="4180" w:hanging="420"/>
      </w:pPr>
    </w:lvl>
  </w:abstractNum>
  <w:abstractNum w:abstractNumId="72">
    <w:nsid w:val="623A17A8"/>
    <w:multiLevelType w:val="singleLevel"/>
    <w:tmpl w:val="623A17A8"/>
    <w:lvl w:ilvl="0" w:tentative="0">
      <w:start w:val="1"/>
      <w:numFmt w:val="decimalEnclosedCircleChinese"/>
      <w:suff w:val="nothing"/>
      <w:lvlText w:val="%1　"/>
      <w:lvlJc w:val="left"/>
      <w:pPr>
        <w:ind w:left="0" w:firstLine="400"/>
      </w:pPr>
      <w:rPr>
        <w:rFonts w:hint="eastAsia"/>
        <w:lang w:val="en-US"/>
      </w:rPr>
    </w:lvl>
  </w:abstractNum>
  <w:abstractNum w:abstractNumId="73">
    <w:nsid w:val="634704D1"/>
    <w:multiLevelType w:val="singleLevel"/>
    <w:tmpl w:val="634704D1"/>
    <w:lvl w:ilvl="0" w:tentative="0">
      <w:start w:val="2"/>
      <w:numFmt w:val="decimal"/>
      <w:suff w:val="nothing"/>
      <w:lvlText w:val="（%1）"/>
      <w:lvlJc w:val="left"/>
    </w:lvl>
  </w:abstractNum>
  <w:abstractNum w:abstractNumId="74">
    <w:nsid w:val="64A31530"/>
    <w:multiLevelType w:val="multilevel"/>
    <w:tmpl w:val="64A31530"/>
    <w:lvl w:ilvl="0" w:tentative="0">
      <w:start w:val="4"/>
      <w:numFmt w:val="decimal"/>
      <w:lvlText w:val="%1."/>
      <w:lvlJc w:val="left"/>
      <w:pPr>
        <w:tabs>
          <w:tab w:val="left" w:pos="420"/>
        </w:tabs>
        <w:ind w:left="840" w:hanging="420"/>
      </w:pPr>
      <w:rPr>
        <w:rFonts w:hint="eastAsia"/>
      </w:rPr>
    </w:lvl>
    <w:lvl w:ilvl="1" w:tentative="0">
      <w:start w:val="1"/>
      <w:numFmt w:val="lowerLetter"/>
      <w:lvlText w:val="%2)"/>
      <w:lvlJc w:val="left"/>
      <w:pPr>
        <w:tabs>
          <w:tab w:val="left" w:pos="420"/>
        </w:tabs>
        <w:ind w:left="1260" w:hanging="420"/>
      </w:pPr>
      <w:rPr>
        <w:rFonts w:hint="eastAsia"/>
      </w:rPr>
    </w:lvl>
    <w:lvl w:ilvl="2" w:tentative="0">
      <w:start w:val="1"/>
      <w:numFmt w:val="lowerRoman"/>
      <w:lvlText w:val="%3."/>
      <w:lvlJc w:val="right"/>
      <w:pPr>
        <w:tabs>
          <w:tab w:val="left" w:pos="420"/>
        </w:tabs>
        <w:ind w:left="1680" w:hanging="420"/>
      </w:pPr>
      <w:rPr>
        <w:rFonts w:hint="eastAsia"/>
      </w:rPr>
    </w:lvl>
    <w:lvl w:ilvl="3" w:tentative="0">
      <w:start w:val="1"/>
      <w:numFmt w:val="decimal"/>
      <w:lvlText w:val="%4."/>
      <w:lvlJc w:val="left"/>
      <w:pPr>
        <w:tabs>
          <w:tab w:val="left" w:pos="420"/>
        </w:tabs>
        <w:ind w:left="2100" w:hanging="420"/>
      </w:pPr>
      <w:rPr>
        <w:rFonts w:hint="eastAsia"/>
      </w:rPr>
    </w:lvl>
    <w:lvl w:ilvl="4" w:tentative="0">
      <w:start w:val="1"/>
      <w:numFmt w:val="lowerLetter"/>
      <w:lvlText w:val="%5)"/>
      <w:lvlJc w:val="left"/>
      <w:pPr>
        <w:tabs>
          <w:tab w:val="left" w:pos="420"/>
        </w:tabs>
        <w:ind w:left="2520" w:hanging="420"/>
      </w:pPr>
      <w:rPr>
        <w:rFonts w:hint="eastAsia"/>
      </w:rPr>
    </w:lvl>
    <w:lvl w:ilvl="5" w:tentative="0">
      <w:start w:val="1"/>
      <w:numFmt w:val="lowerRoman"/>
      <w:lvlText w:val="%6."/>
      <w:lvlJc w:val="right"/>
      <w:pPr>
        <w:tabs>
          <w:tab w:val="left" w:pos="420"/>
        </w:tabs>
        <w:ind w:left="2940" w:hanging="420"/>
      </w:pPr>
      <w:rPr>
        <w:rFonts w:hint="eastAsia"/>
      </w:rPr>
    </w:lvl>
    <w:lvl w:ilvl="6" w:tentative="0">
      <w:start w:val="1"/>
      <w:numFmt w:val="decimal"/>
      <w:lvlText w:val="%7."/>
      <w:lvlJc w:val="left"/>
      <w:pPr>
        <w:tabs>
          <w:tab w:val="left" w:pos="420"/>
        </w:tabs>
        <w:ind w:left="3360" w:hanging="420"/>
      </w:pPr>
      <w:rPr>
        <w:rFonts w:hint="eastAsia"/>
      </w:rPr>
    </w:lvl>
    <w:lvl w:ilvl="7" w:tentative="0">
      <w:start w:val="1"/>
      <w:numFmt w:val="lowerLetter"/>
      <w:lvlText w:val="%8)"/>
      <w:lvlJc w:val="left"/>
      <w:pPr>
        <w:tabs>
          <w:tab w:val="left" w:pos="420"/>
        </w:tabs>
        <w:ind w:left="3780" w:hanging="420"/>
      </w:pPr>
      <w:rPr>
        <w:rFonts w:hint="eastAsia"/>
      </w:rPr>
    </w:lvl>
    <w:lvl w:ilvl="8" w:tentative="0">
      <w:start w:val="1"/>
      <w:numFmt w:val="lowerRoman"/>
      <w:lvlText w:val="%9."/>
      <w:lvlJc w:val="right"/>
      <w:pPr>
        <w:tabs>
          <w:tab w:val="left" w:pos="420"/>
        </w:tabs>
        <w:ind w:left="4200" w:hanging="420"/>
      </w:pPr>
      <w:rPr>
        <w:rFonts w:hint="eastAsia"/>
      </w:rPr>
    </w:lvl>
  </w:abstractNum>
  <w:abstractNum w:abstractNumId="75">
    <w:nsid w:val="675E6064"/>
    <w:multiLevelType w:val="multilevel"/>
    <w:tmpl w:val="675E6064"/>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76">
    <w:nsid w:val="679A52D2"/>
    <w:multiLevelType w:val="singleLevel"/>
    <w:tmpl w:val="679A52D2"/>
    <w:lvl w:ilvl="0" w:tentative="0">
      <w:start w:val="1"/>
      <w:numFmt w:val="decimalEnclosedCircleChinese"/>
      <w:suff w:val="nothing"/>
      <w:lvlText w:val="%1　"/>
      <w:lvlJc w:val="left"/>
      <w:pPr>
        <w:ind w:left="0" w:firstLine="400"/>
      </w:pPr>
      <w:rPr>
        <w:rFonts w:hint="eastAsia"/>
        <w:lang w:val="en-US"/>
      </w:rPr>
    </w:lvl>
  </w:abstractNum>
  <w:abstractNum w:abstractNumId="77">
    <w:nsid w:val="6ACC9DC8"/>
    <w:multiLevelType w:val="singleLevel"/>
    <w:tmpl w:val="6ACC9DC8"/>
    <w:lvl w:ilvl="0" w:tentative="0">
      <w:start w:val="1"/>
      <w:numFmt w:val="decimalEnclosedCircleChinese"/>
      <w:suff w:val="space"/>
      <w:lvlText w:val="%1"/>
      <w:lvlJc w:val="left"/>
      <w:rPr>
        <w:rFonts w:hint="eastAsia"/>
      </w:rPr>
    </w:lvl>
  </w:abstractNum>
  <w:abstractNum w:abstractNumId="78">
    <w:nsid w:val="6C1650EF"/>
    <w:multiLevelType w:val="singleLevel"/>
    <w:tmpl w:val="6C1650EF"/>
    <w:lvl w:ilvl="0" w:tentative="0">
      <w:start w:val="1"/>
      <w:numFmt w:val="decimalEnclosedCircleChinese"/>
      <w:suff w:val="nothing"/>
      <w:lvlText w:val="%1　"/>
      <w:lvlJc w:val="left"/>
      <w:pPr>
        <w:ind w:left="0" w:firstLine="400"/>
      </w:pPr>
      <w:rPr>
        <w:rFonts w:cs="Times New Roman"/>
      </w:rPr>
    </w:lvl>
  </w:abstractNum>
  <w:abstractNum w:abstractNumId="79">
    <w:nsid w:val="6EE109A4"/>
    <w:multiLevelType w:val="multilevel"/>
    <w:tmpl w:val="6EE109A4"/>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80">
    <w:nsid w:val="73EA16A8"/>
    <w:multiLevelType w:val="multilevel"/>
    <w:tmpl w:val="73EA16A8"/>
    <w:lvl w:ilvl="0" w:tentative="0">
      <w:start w:val="1"/>
      <w:numFmt w:val="chineseCountingThousand"/>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81">
    <w:nsid w:val="740830D7"/>
    <w:multiLevelType w:val="singleLevel"/>
    <w:tmpl w:val="740830D7"/>
    <w:lvl w:ilvl="0" w:tentative="0">
      <w:start w:val="1"/>
      <w:numFmt w:val="decimalEnclosedCircleChinese"/>
      <w:suff w:val="nothing"/>
      <w:lvlText w:val="%1　"/>
      <w:lvlJc w:val="left"/>
      <w:pPr>
        <w:ind w:left="0" w:firstLine="400"/>
      </w:pPr>
      <w:rPr>
        <w:rFonts w:cs="Times New Roman"/>
      </w:rPr>
    </w:lvl>
  </w:abstractNum>
  <w:abstractNum w:abstractNumId="82">
    <w:nsid w:val="74651AA0"/>
    <w:multiLevelType w:val="multilevel"/>
    <w:tmpl w:val="74651AA0"/>
    <w:lvl w:ilvl="0" w:tentative="0">
      <w:start w:val="1"/>
      <w:numFmt w:val="lowerLetter"/>
      <w:lvlText w:val="%1."/>
      <w:lvlJc w:val="left"/>
      <w:pPr>
        <w:ind w:left="846" w:hanging="420"/>
      </w:pPr>
      <w:rPr>
        <w:rFonts w:hint="default"/>
      </w:rPr>
    </w:lvl>
    <w:lvl w:ilvl="1" w:tentative="0">
      <w:start w:val="1"/>
      <w:numFmt w:val="lowerLetter"/>
      <w:lvlText w:val="%2)"/>
      <w:lvlJc w:val="left"/>
      <w:pPr>
        <w:ind w:left="1266" w:hanging="420"/>
      </w:pPr>
    </w:lvl>
    <w:lvl w:ilvl="2" w:tentative="0">
      <w:start w:val="1"/>
      <w:numFmt w:val="lowerRoman"/>
      <w:lvlText w:val="%3."/>
      <w:lvlJc w:val="right"/>
      <w:pPr>
        <w:ind w:left="1686" w:hanging="420"/>
      </w:pPr>
    </w:lvl>
    <w:lvl w:ilvl="3" w:tentative="0">
      <w:start w:val="1"/>
      <w:numFmt w:val="decimal"/>
      <w:lvlText w:val="%4."/>
      <w:lvlJc w:val="left"/>
      <w:pPr>
        <w:ind w:left="2106" w:hanging="420"/>
      </w:pPr>
    </w:lvl>
    <w:lvl w:ilvl="4" w:tentative="0">
      <w:start w:val="1"/>
      <w:numFmt w:val="lowerLetter"/>
      <w:lvlText w:val="%5)"/>
      <w:lvlJc w:val="left"/>
      <w:pPr>
        <w:ind w:left="2526" w:hanging="420"/>
      </w:pPr>
    </w:lvl>
    <w:lvl w:ilvl="5" w:tentative="0">
      <w:start w:val="1"/>
      <w:numFmt w:val="lowerRoman"/>
      <w:lvlText w:val="%6."/>
      <w:lvlJc w:val="right"/>
      <w:pPr>
        <w:ind w:left="2946" w:hanging="420"/>
      </w:pPr>
    </w:lvl>
    <w:lvl w:ilvl="6" w:tentative="0">
      <w:start w:val="1"/>
      <w:numFmt w:val="decimal"/>
      <w:lvlText w:val="%7."/>
      <w:lvlJc w:val="left"/>
      <w:pPr>
        <w:ind w:left="3366" w:hanging="420"/>
      </w:pPr>
    </w:lvl>
    <w:lvl w:ilvl="7" w:tentative="0">
      <w:start w:val="1"/>
      <w:numFmt w:val="lowerLetter"/>
      <w:lvlText w:val="%8)"/>
      <w:lvlJc w:val="left"/>
      <w:pPr>
        <w:ind w:left="3786" w:hanging="420"/>
      </w:pPr>
    </w:lvl>
    <w:lvl w:ilvl="8" w:tentative="0">
      <w:start w:val="1"/>
      <w:numFmt w:val="lowerRoman"/>
      <w:lvlText w:val="%9."/>
      <w:lvlJc w:val="right"/>
      <w:pPr>
        <w:ind w:left="4206" w:hanging="420"/>
      </w:pPr>
    </w:lvl>
  </w:abstractNum>
  <w:abstractNum w:abstractNumId="83">
    <w:nsid w:val="762F3E2C"/>
    <w:multiLevelType w:val="singleLevel"/>
    <w:tmpl w:val="762F3E2C"/>
    <w:lvl w:ilvl="0" w:tentative="0">
      <w:start w:val="1"/>
      <w:numFmt w:val="decimalEnclosedCircleChinese"/>
      <w:suff w:val="nothing"/>
      <w:lvlText w:val="%1　"/>
      <w:lvlJc w:val="left"/>
      <w:pPr>
        <w:ind w:left="0" w:firstLine="400"/>
      </w:pPr>
      <w:rPr>
        <w:rFonts w:hint="eastAsia"/>
        <w:lang w:val="en-US"/>
      </w:rPr>
    </w:lvl>
  </w:abstractNum>
  <w:abstractNum w:abstractNumId="84">
    <w:nsid w:val="7A404B99"/>
    <w:multiLevelType w:val="singleLevel"/>
    <w:tmpl w:val="7A404B99"/>
    <w:lvl w:ilvl="0" w:tentative="0">
      <w:start w:val="1"/>
      <w:numFmt w:val="decimalEnclosedCircleChinese"/>
      <w:suff w:val="nothing"/>
      <w:lvlText w:val="%1　"/>
      <w:lvlJc w:val="left"/>
      <w:pPr>
        <w:ind w:left="0" w:firstLine="400"/>
      </w:pPr>
      <w:rPr>
        <w:rFonts w:cs="Times New Roman"/>
      </w:rPr>
    </w:lvl>
  </w:abstractNum>
  <w:abstractNum w:abstractNumId="85">
    <w:nsid w:val="7B287C18"/>
    <w:multiLevelType w:val="singleLevel"/>
    <w:tmpl w:val="7B287C18"/>
    <w:lvl w:ilvl="0" w:tentative="0">
      <w:start w:val="1"/>
      <w:numFmt w:val="decimalEnclosedCircleChinese"/>
      <w:suff w:val="nothing"/>
      <w:lvlText w:val="%1　"/>
      <w:lvlJc w:val="left"/>
      <w:pPr>
        <w:ind w:left="0" w:firstLine="400"/>
      </w:pPr>
      <w:rPr>
        <w:rFonts w:hint="eastAsia"/>
      </w:rPr>
    </w:lvl>
  </w:abstractNum>
  <w:abstractNum w:abstractNumId="86">
    <w:nsid w:val="7D6A1F05"/>
    <w:multiLevelType w:val="singleLevel"/>
    <w:tmpl w:val="7D6A1F05"/>
    <w:lvl w:ilvl="0" w:tentative="0">
      <w:start w:val="1"/>
      <w:numFmt w:val="decimalEnclosedCircleChinese"/>
      <w:suff w:val="nothing"/>
      <w:lvlText w:val="%1　"/>
      <w:lvlJc w:val="left"/>
      <w:pPr>
        <w:ind w:left="0" w:firstLine="400"/>
      </w:pPr>
      <w:rPr>
        <w:rFonts w:hint="eastAsia"/>
      </w:rPr>
    </w:lvl>
  </w:abstractNum>
  <w:abstractNum w:abstractNumId="87">
    <w:nsid w:val="7ED74025"/>
    <w:multiLevelType w:val="singleLevel"/>
    <w:tmpl w:val="7ED74025"/>
    <w:lvl w:ilvl="0" w:tentative="0">
      <w:start w:val="1"/>
      <w:numFmt w:val="decimalEnclosedCircleChinese"/>
      <w:suff w:val="nothing"/>
      <w:lvlText w:val="%1　"/>
      <w:lvlJc w:val="left"/>
      <w:pPr>
        <w:ind w:left="0" w:firstLine="400"/>
      </w:pPr>
      <w:rPr>
        <w:rFonts w:hint="eastAsia"/>
      </w:rPr>
    </w:lvl>
  </w:abstractNum>
  <w:num w:numId="1">
    <w:abstractNumId w:val="0"/>
  </w:num>
  <w:num w:numId="2">
    <w:abstractNumId w:val="1"/>
  </w:num>
  <w:num w:numId="3">
    <w:abstractNumId w:val="30"/>
  </w:num>
  <w:num w:numId="4">
    <w:abstractNumId w:val="2"/>
  </w:num>
  <w:num w:numId="5">
    <w:abstractNumId w:val="73"/>
  </w:num>
  <w:num w:numId="6">
    <w:abstractNumId w:val="13"/>
  </w:num>
  <w:num w:numId="7">
    <w:abstractNumId w:val="14"/>
  </w:num>
  <w:num w:numId="8">
    <w:abstractNumId w:val="65"/>
  </w:num>
  <w:num w:numId="9">
    <w:abstractNumId w:val="8"/>
  </w:num>
  <w:num w:numId="10">
    <w:abstractNumId w:val="11"/>
  </w:num>
  <w:num w:numId="11">
    <w:abstractNumId w:val="4"/>
  </w:num>
  <w:num w:numId="12">
    <w:abstractNumId w:val="74"/>
  </w:num>
  <w:num w:numId="13">
    <w:abstractNumId w:val="46"/>
  </w:num>
  <w:num w:numId="14">
    <w:abstractNumId w:val="57"/>
  </w:num>
  <w:num w:numId="15">
    <w:abstractNumId w:val="7"/>
  </w:num>
  <w:num w:numId="16">
    <w:abstractNumId w:val="17"/>
  </w:num>
  <w:num w:numId="17">
    <w:abstractNumId w:val="79"/>
  </w:num>
  <w:num w:numId="18">
    <w:abstractNumId w:val="9"/>
  </w:num>
  <w:num w:numId="19">
    <w:abstractNumId w:val="86"/>
  </w:num>
  <w:num w:numId="20">
    <w:abstractNumId w:val="87"/>
  </w:num>
  <w:num w:numId="21">
    <w:abstractNumId w:val="38"/>
  </w:num>
  <w:num w:numId="22">
    <w:abstractNumId w:val="33"/>
  </w:num>
  <w:num w:numId="23">
    <w:abstractNumId w:val="32"/>
  </w:num>
  <w:num w:numId="24">
    <w:abstractNumId w:val="49"/>
  </w:num>
  <w:num w:numId="25">
    <w:abstractNumId w:val="10"/>
  </w:num>
  <w:num w:numId="26">
    <w:abstractNumId w:val="5"/>
  </w:num>
  <w:num w:numId="27">
    <w:abstractNumId w:val="44"/>
  </w:num>
  <w:num w:numId="28">
    <w:abstractNumId w:val="71"/>
  </w:num>
  <w:num w:numId="29">
    <w:abstractNumId w:val="48"/>
  </w:num>
  <w:num w:numId="30">
    <w:abstractNumId w:val="24"/>
  </w:num>
  <w:num w:numId="31">
    <w:abstractNumId w:val="67"/>
  </w:num>
  <w:num w:numId="32">
    <w:abstractNumId w:val="25"/>
  </w:num>
  <w:num w:numId="33">
    <w:abstractNumId w:val="29"/>
  </w:num>
  <w:num w:numId="34">
    <w:abstractNumId w:val="58"/>
  </w:num>
  <w:num w:numId="35">
    <w:abstractNumId w:val="61"/>
  </w:num>
  <w:num w:numId="36">
    <w:abstractNumId w:val="15"/>
  </w:num>
  <w:num w:numId="37">
    <w:abstractNumId w:val="40"/>
  </w:num>
  <w:num w:numId="38">
    <w:abstractNumId w:val="23"/>
  </w:num>
  <w:num w:numId="39">
    <w:abstractNumId w:val="59"/>
  </w:num>
  <w:num w:numId="40">
    <w:abstractNumId w:val="39"/>
  </w:num>
  <w:num w:numId="41">
    <w:abstractNumId w:val="54"/>
  </w:num>
  <w:num w:numId="42">
    <w:abstractNumId w:val="28"/>
  </w:num>
  <w:num w:numId="43">
    <w:abstractNumId w:val="12"/>
  </w:num>
  <w:num w:numId="44">
    <w:abstractNumId w:val="37"/>
  </w:num>
  <w:num w:numId="45">
    <w:abstractNumId w:val="16"/>
  </w:num>
  <w:num w:numId="46">
    <w:abstractNumId w:val="19"/>
  </w:num>
  <w:num w:numId="47">
    <w:abstractNumId w:val="51"/>
  </w:num>
  <w:num w:numId="48">
    <w:abstractNumId w:val="45"/>
  </w:num>
  <w:num w:numId="49">
    <w:abstractNumId w:val="52"/>
  </w:num>
  <w:num w:numId="50">
    <w:abstractNumId w:val="80"/>
  </w:num>
  <w:num w:numId="51">
    <w:abstractNumId w:val="22"/>
  </w:num>
  <w:num w:numId="52">
    <w:abstractNumId w:val="41"/>
  </w:num>
  <w:num w:numId="53">
    <w:abstractNumId w:val="6"/>
  </w:num>
  <w:num w:numId="54">
    <w:abstractNumId w:val="77"/>
  </w:num>
  <w:num w:numId="55">
    <w:abstractNumId w:val="47"/>
  </w:num>
  <w:num w:numId="56">
    <w:abstractNumId w:val="81"/>
  </w:num>
  <w:num w:numId="57">
    <w:abstractNumId w:val="31"/>
  </w:num>
  <w:num w:numId="58">
    <w:abstractNumId w:val="78"/>
  </w:num>
  <w:num w:numId="59">
    <w:abstractNumId w:val="82"/>
  </w:num>
  <w:num w:numId="60">
    <w:abstractNumId w:val="83"/>
  </w:num>
  <w:num w:numId="61">
    <w:abstractNumId w:val="60"/>
  </w:num>
  <w:num w:numId="62">
    <w:abstractNumId w:val="18"/>
  </w:num>
  <w:num w:numId="63">
    <w:abstractNumId w:val="85"/>
  </w:num>
  <w:num w:numId="64">
    <w:abstractNumId w:val="36"/>
  </w:num>
  <w:num w:numId="65">
    <w:abstractNumId w:val="69"/>
  </w:num>
  <w:num w:numId="66">
    <w:abstractNumId w:val="84"/>
  </w:num>
  <w:num w:numId="67">
    <w:abstractNumId w:val="62"/>
  </w:num>
  <w:num w:numId="68">
    <w:abstractNumId w:val="26"/>
  </w:num>
  <w:num w:numId="69">
    <w:abstractNumId w:val="63"/>
  </w:num>
  <w:num w:numId="70">
    <w:abstractNumId w:val="50"/>
  </w:num>
  <w:num w:numId="71">
    <w:abstractNumId w:val="34"/>
  </w:num>
  <w:num w:numId="72">
    <w:abstractNumId w:val="21"/>
  </w:num>
  <w:num w:numId="73">
    <w:abstractNumId w:val="53"/>
  </w:num>
  <w:num w:numId="74">
    <w:abstractNumId w:val="20"/>
  </w:num>
  <w:num w:numId="75">
    <w:abstractNumId w:val="72"/>
  </w:num>
  <w:num w:numId="76">
    <w:abstractNumId w:val="55"/>
  </w:num>
  <w:num w:numId="77">
    <w:abstractNumId w:val="56"/>
  </w:num>
  <w:num w:numId="78">
    <w:abstractNumId w:val="70"/>
  </w:num>
  <w:num w:numId="79">
    <w:abstractNumId w:val="66"/>
  </w:num>
  <w:num w:numId="80">
    <w:abstractNumId w:val="43"/>
  </w:num>
  <w:num w:numId="81">
    <w:abstractNumId w:val="42"/>
  </w:num>
  <w:num w:numId="82">
    <w:abstractNumId w:val="68"/>
  </w:num>
  <w:num w:numId="83">
    <w:abstractNumId w:val="27"/>
  </w:num>
  <w:num w:numId="84">
    <w:abstractNumId w:val="35"/>
  </w:num>
  <w:num w:numId="85">
    <w:abstractNumId w:val="64"/>
  </w:num>
  <w:num w:numId="86">
    <w:abstractNumId w:val="76"/>
  </w:num>
  <w:num w:numId="87">
    <w:abstractNumId w:val="75"/>
  </w:num>
  <w:num w:numId="8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trackRevisions w:val="1"/>
  <w:documentProtection w:enforcement="0"/>
  <w:defaultTabStop w:val="420"/>
  <w:drawingGridHorizontalSpacing w:val="210"/>
  <w:drawingGridVerticalSpacing w:val="-7946"/>
  <w:displayHorizontalDrawingGridEvery w:val="1"/>
  <w:displayVerticalDrawingGridEvery w:val="1"/>
  <w:noPunctuationKerning w:val="1"/>
  <w:characterSpacingControl w:val="doNotCompress"/>
  <w:compat>
    <w:doNotExpandShiftReturn/>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U3NGUzNTliNGZhODg5YmM4ODdiNGRjMDM0ZTQxZDIifQ=="/>
  </w:docVars>
  <w:rsids>
    <w:rsidRoot w:val="003F2ED6"/>
    <w:rsid w:val="00011ECD"/>
    <w:rsid w:val="00076221"/>
    <w:rsid w:val="00092F51"/>
    <w:rsid w:val="000B18F0"/>
    <w:rsid w:val="000F1046"/>
    <w:rsid w:val="000F135C"/>
    <w:rsid w:val="00102ED9"/>
    <w:rsid w:val="001132C6"/>
    <w:rsid w:val="00133027"/>
    <w:rsid w:val="00157B73"/>
    <w:rsid w:val="00171641"/>
    <w:rsid w:val="00172A1E"/>
    <w:rsid w:val="001800FD"/>
    <w:rsid w:val="001B1DE3"/>
    <w:rsid w:val="001B3A70"/>
    <w:rsid w:val="001D5398"/>
    <w:rsid w:val="00223CBC"/>
    <w:rsid w:val="00233081"/>
    <w:rsid w:val="00252453"/>
    <w:rsid w:val="0026665C"/>
    <w:rsid w:val="0026717C"/>
    <w:rsid w:val="002926D1"/>
    <w:rsid w:val="002B53DD"/>
    <w:rsid w:val="00313F21"/>
    <w:rsid w:val="00322C22"/>
    <w:rsid w:val="00324A78"/>
    <w:rsid w:val="00337C06"/>
    <w:rsid w:val="00347E38"/>
    <w:rsid w:val="0038457F"/>
    <w:rsid w:val="00385320"/>
    <w:rsid w:val="003953E5"/>
    <w:rsid w:val="003B64EA"/>
    <w:rsid w:val="003B6C91"/>
    <w:rsid w:val="003D2A99"/>
    <w:rsid w:val="003F2ED6"/>
    <w:rsid w:val="00412BA6"/>
    <w:rsid w:val="00437458"/>
    <w:rsid w:val="00453FBC"/>
    <w:rsid w:val="00454987"/>
    <w:rsid w:val="004841B8"/>
    <w:rsid w:val="004A0F00"/>
    <w:rsid w:val="00531609"/>
    <w:rsid w:val="0054531B"/>
    <w:rsid w:val="005867C8"/>
    <w:rsid w:val="00596BB3"/>
    <w:rsid w:val="005A7877"/>
    <w:rsid w:val="005F1887"/>
    <w:rsid w:val="005F194D"/>
    <w:rsid w:val="00600C83"/>
    <w:rsid w:val="0061142A"/>
    <w:rsid w:val="006156FB"/>
    <w:rsid w:val="00642511"/>
    <w:rsid w:val="00662032"/>
    <w:rsid w:val="006960CD"/>
    <w:rsid w:val="006A5BF3"/>
    <w:rsid w:val="006D5299"/>
    <w:rsid w:val="00724DF7"/>
    <w:rsid w:val="007743CF"/>
    <w:rsid w:val="00796396"/>
    <w:rsid w:val="007D2D2E"/>
    <w:rsid w:val="007F2242"/>
    <w:rsid w:val="008021CD"/>
    <w:rsid w:val="00802517"/>
    <w:rsid w:val="00833E0B"/>
    <w:rsid w:val="0084105F"/>
    <w:rsid w:val="00850F37"/>
    <w:rsid w:val="00874A0D"/>
    <w:rsid w:val="00877D83"/>
    <w:rsid w:val="00890384"/>
    <w:rsid w:val="008944CE"/>
    <w:rsid w:val="008B6CA6"/>
    <w:rsid w:val="008D0030"/>
    <w:rsid w:val="008F3318"/>
    <w:rsid w:val="00910DE3"/>
    <w:rsid w:val="00941337"/>
    <w:rsid w:val="009475ED"/>
    <w:rsid w:val="009618E5"/>
    <w:rsid w:val="00977D02"/>
    <w:rsid w:val="00984E24"/>
    <w:rsid w:val="00986EA5"/>
    <w:rsid w:val="00997E08"/>
    <w:rsid w:val="009B088D"/>
    <w:rsid w:val="009B1D96"/>
    <w:rsid w:val="009E4E44"/>
    <w:rsid w:val="009F2921"/>
    <w:rsid w:val="00A179E3"/>
    <w:rsid w:val="00A20975"/>
    <w:rsid w:val="00A72F8E"/>
    <w:rsid w:val="00AC3A5D"/>
    <w:rsid w:val="00AE2AE1"/>
    <w:rsid w:val="00B15818"/>
    <w:rsid w:val="00B16145"/>
    <w:rsid w:val="00B16EA5"/>
    <w:rsid w:val="00B8616B"/>
    <w:rsid w:val="00C047F0"/>
    <w:rsid w:val="00C3308E"/>
    <w:rsid w:val="00C37F2A"/>
    <w:rsid w:val="00C54E0F"/>
    <w:rsid w:val="00CA2EF8"/>
    <w:rsid w:val="00D04981"/>
    <w:rsid w:val="00D227D6"/>
    <w:rsid w:val="00D2563E"/>
    <w:rsid w:val="00D27D65"/>
    <w:rsid w:val="00D44CB4"/>
    <w:rsid w:val="00D47160"/>
    <w:rsid w:val="00D50438"/>
    <w:rsid w:val="00D53EE8"/>
    <w:rsid w:val="00D64325"/>
    <w:rsid w:val="00D94D68"/>
    <w:rsid w:val="00DA60AE"/>
    <w:rsid w:val="00DD2D95"/>
    <w:rsid w:val="00DF3E56"/>
    <w:rsid w:val="00DF3E74"/>
    <w:rsid w:val="00E418B9"/>
    <w:rsid w:val="00E44730"/>
    <w:rsid w:val="00E70AEE"/>
    <w:rsid w:val="00E70CCA"/>
    <w:rsid w:val="00E77556"/>
    <w:rsid w:val="00E81341"/>
    <w:rsid w:val="00EA7B11"/>
    <w:rsid w:val="00EC4116"/>
    <w:rsid w:val="00F23F82"/>
    <w:rsid w:val="00F33613"/>
    <w:rsid w:val="00F5656F"/>
    <w:rsid w:val="00FB197F"/>
    <w:rsid w:val="00FD0792"/>
    <w:rsid w:val="00FE21DA"/>
    <w:rsid w:val="010643D2"/>
    <w:rsid w:val="01170F7B"/>
    <w:rsid w:val="01252684"/>
    <w:rsid w:val="017B4D40"/>
    <w:rsid w:val="019D0525"/>
    <w:rsid w:val="01FE0316"/>
    <w:rsid w:val="0218174A"/>
    <w:rsid w:val="02354705"/>
    <w:rsid w:val="02494A32"/>
    <w:rsid w:val="02CD0E66"/>
    <w:rsid w:val="02D06F7F"/>
    <w:rsid w:val="03220DB1"/>
    <w:rsid w:val="032A4307"/>
    <w:rsid w:val="033D2B90"/>
    <w:rsid w:val="0381097B"/>
    <w:rsid w:val="03A04854"/>
    <w:rsid w:val="03B0513A"/>
    <w:rsid w:val="03D56774"/>
    <w:rsid w:val="03F97150"/>
    <w:rsid w:val="041A4B26"/>
    <w:rsid w:val="042837E4"/>
    <w:rsid w:val="042F2D99"/>
    <w:rsid w:val="04900C3F"/>
    <w:rsid w:val="05420BC0"/>
    <w:rsid w:val="055A6F90"/>
    <w:rsid w:val="057115C5"/>
    <w:rsid w:val="05A75462"/>
    <w:rsid w:val="05C72ADD"/>
    <w:rsid w:val="05ED3A79"/>
    <w:rsid w:val="069224BE"/>
    <w:rsid w:val="069B1A69"/>
    <w:rsid w:val="069B2990"/>
    <w:rsid w:val="06F3702C"/>
    <w:rsid w:val="07217C7D"/>
    <w:rsid w:val="074B2202"/>
    <w:rsid w:val="075B40DD"/>
    <w:rsid w:val="078779E0"/>
    <w:rsid w:val="07AF4972"/>
    <w:rsid w:val="07E01420"/>
    <w:rsid w:val="08024C97"/>
    <w:rsid w:val="0817436F"/>
    <w:rsid w:val="085E38DD"/>
    <w:rsid w:val="085E70A2"/>
    <w:rsid w:val="088834A8"/>
    <w:rsid w:val="08AA0FDD"/>
    <w:rsid w:val="09487C0D"/>
    <w:rsid w:val="099361CD"/>
    <w:rsid w:val="09C6554D"/>
    <w:rsid w:val="09F53720"/>
    <w:rsid w:val="0A17516A"/>
    <w:rsid w:val="0A203944"/>
    <w:rsid w:val="0A3648BE"/>
    <w:rsid w:val="0A536E92"/>
    <w:rsid w:val="0A6F2DDF"/>
    <w:rsid w:val="0A9414BC"/>
    <w:rsid w:val="0A993B42"/>
    <w:rsid w:val="0AD57493"/>
    <w:rsid w:val="0AD95861"/>
    <w:rsid w:val="0B042481"/>
    <w:rsid w:val="0B114F47"/>
    <w:rsid w:val="0B205E71"/>
    <w:rsid w:val="0B7011A9"/>
    <w:rsid w:val="0B8239E5"/>
    <w:rsid w:val="0C0A1E81"/>
    <w:rsid w:val="0C161F23"/>
    <w:rsid w:val="0C2C496A"/>
    <w:rsid w:val="0C2F0F17"/>
    <w:rsid w:val="0C597449"/>
    <w:rsid w:val="0C620A55"/>
    <w:rsid w:val="0CFA7752"/>
    <w:rsid w:val="0D9D24E2"/>
    <w:rsid w:val="0DA07C55"/>
    <w:rsid w:val="0E483512"/>
    <w:rsid w:val="0E6F03C7"/>
    <w:rsid w:val="0E7A4BF5"/>
    <w:rsid w:val="0E7A69DB"/>
    <w:rsid w:val="0E977A54"/>
    <w:rsid w:val="0E9960EA"/>
    <w:rsid w:val="0EDC350C"/>
    <w:rsid w:val="0F02680A"/>
    <w:rsid w:val="0F1E2E01"/>
    <w:rsid w:val="0F382024"/>
    <w:rsid w:val="0F5A72E2"/>
    <w:rsid w:val="0F7F0CD1"/>
    <w:rsid w:val="0F8D75C2"/>
    <w:rsid w:val="103129C3"/>
    <w:rsid w:val="10966690"/>
    <w:rsid w:val="10A25C3C"/>
    <w:rsid w:val="10D702F3"/>
    <w:rsid w:val="10D842E1"/>
    <w:rsid w:val="10F12720"/>
    <w:rsid w:val="10F36003"/>
    <w:rsid w:val="11003F91"/>
    <w:rsid w:val="11200E0E"/>
    <w:rsid w:val="115C0A93"/>
    <w:rsid w:val="11F947DD"/>
    <w:rsid w:val="1231797F"/>
    <w:rsid w:val="12474CDC"/>
    <w:rsid w:val="126E08E5"/>
    <w:rsid w:val="12B87C38"/>
    <w:rsid w:val="12EF4562"/>
    <w:rsid w:val="13096083"/>
    <w:rsid w:val="130C223A"/>
    <w:rsid w:val="131E5E73"/>
    <w:rsid w:val="138B2BA4"/>
    <w:rsid w:val="13916FB5"/>
    <w:rsid w:val="13E024F7"/>
    <w:rsid w:val="14131B76"/>
    <w:rsid w:val="142524E7"/>
    <w:rsid w:val="1470009E"/>
    <w:rsid w:val="148E0DD7"/>
    <w:rsid w:val="152C3B9A"/>
    <w:rsid w:val="1562509C"/>
    <w:rsid w:val="15AC33FE"/>
    <w:rsid w:val="161A5B51"/>
    <w:rsid w:val="16754EC2"/>
    <w:rsid w:val="16930926"/>
    <w:rsid w:val="16A246B2"/>
    <w:rsid w:val="16BD34B9"/>
    <w:rsid w:val="16F57468"/>
    <w:rsid w:val="172B1D93"/>
    <w:rsid w:val="17492CC0"/>
    <w:rsid w:val="174D6D27"/>
    <w:rsid w:val="175375A6"/>
    <w:rsid w:val="1766592F"/>
    <w:rsid w:val="17743711"/>
    <w:rsid w:val="17ED2EC7"/>
    <w:rsid w:val="17F860F9"/>
    <w:rsid w:val="180F08DE"/>
    <w:rsid w:val="18207BC5"/>
    <w:rsid w:val="18B07712"/>
    <w:rsid w:val="18E1364A"/>
    <w:rsid w:val="18E56FD1"/>
    <w:rsid w:val="19241AC7"/>
    <w:rsid w:val="193024C3"/>
    <w:rsid w:val="19680F65"/>
    <w:rsid w:val="19B44F84"/>
    <w:rsid w:val="19C370FB"/>
    <w:rsid w:val="19C374C4"/>
    <w:rsid w:val="1A1915F5"/>
    <w:rsid w:val="1A230873"/>
    <w:rsid w:val="1A3E393E"/>
    <w:rsid w:val="1A5546C4"/>
    <w:rsid w:val="1A933706"/>
    <w:rsid w:val="1AC47160"/>
    <w:rsid w:val="1AFC45F8"/>
    <w:rsid w:val="1B3E00A7"/>
    <w:rsid w:val="1B4B59C7"/>
    <w:rsid w:val="1B536CDA"/>
    <w:rsid w:val="1BA25287"/>
    <w:rsid w:val="1BA65996"/>
    <w:rsid w:val="1BB47375"/>
    <w:rsid w:val="1BC8002C"/>
    <w:rsid w:val="1BD0252A"/>
    <w:rsid w:val="1BF7266A"/>
    <w:rsid w:val="1C5E01AD"/>
    <w:rsid w:val="1C6D1392"/>
    <w:rsid w:val="1CD80E41"/>
    <w:rsid w:val="1CD96D90"/>
    <w:rsid w:val="1D246639"/>
    <w:rsid w:val="1D6B1A0F"/>
    <w:rsid w:val="1DB0666F"/>
    <w:rsid w:val="1E2F7F65"/>
    <w:rsid w:val="1EDD32D7"/>
    <w:rsid w:val="1F222924"/>
    <w:rsid w:val="1F4544B4"/>
    <w:rsid w:val="1F673EBF"/>
    <w:rsid w:val="1FBD527D"/>
    <w:rsid w:val="2015576A"/>
    <w:rsid w:val="20180053"/>
    <w:rsid w:val="20243093"/>
    <w:rsid w:val="20426CFD"/>
    <w:rsid w:val="20D165E0"/>
    <w:rsid w:val="20F25CF1"/>
    <w:rsid w:val="216449AA"/>
    <w:rsid w:val="217541B0"/>
    <w:rsid w:val="21C21F40"/>
    <w:rsid w:val="21C727E1"/>
    <w:rsid w:val="21D07A25"/>
    <w:rsid w:val="21EA0920"/>
    <w:rsid w:val="223607E1"/>
    <w:rsid w:val="223D4D9F"/>
    <w:rsid w:val="22983CFE"/>
    <w:rsid w:val="22A63EC2"/>
    <w:rsid w:val="22AD6C31"/>
    <w:rsid w:val="22DC5938"/>
    <w:rsid w:val="22EC55E4"/>
    <w:rsid w:val="22EE2A71"/>
    <w:rsid w:val="22F356B8"/>
    <w:rsid w:val="23112007"/>
    <w:rsid w:val="231A4985"/>
    <w:rsid w:val="23467533"/>
    <w:rsid w:val="237E5F10"/>
    <w:rsid w:val="23FD212F"/>
    <w:rsid w:val="241A4A22"/>
    <w:rsid w:val="24397D4F"/>
    <w:rsid w:val="2480073C"/>
    <w:rsid w:val="25111399"/>
    <w:rsid w:val="251D5245"/>
    <w:rsid w:val="252D3DA3"/>
    <w:rsid w:val="25673626"/>
    <w:rsid w:val="256C54BF"/>
    <w:rsid w:val="257C4F29"/>
    <w:rsid w:val="25874E25"/>
    <w:rsid w:val="259167F1"/>
    <w:rsid w:val="25C77AC0"/>
    <w:rsid w:val="265D7677"/>
    <w:rsid w:val="2695312C"/>
    <w:rsid w:val="269E7603"/>
    <w:rsid w:val="26F53A39"/>
    <w:rsid w:val="273A33DC"/>
    <w:rsid w:val="27756113"/>
    <w:rsid w:val="27DC55D7"/>
    <w:rsid w:val="27F84584"/>
    <w:rsid w:val="2801387C"/>
    <w:rsid w:val="28035A15"/>
    <w:rsid w:val="28753FAD"/>
    <w:rsid w:val="287E155D"/>
    <w:rsid w:val="289135FD"/>
    <w:rsid w:val="290E0883"/>
    <w:rsid w:val="29676195"/>
    <w:rsid w:val="297909E4"/>
    <w:rsid w:val="297E1B4D"/>
    <w:rsid w:val="29C14A7E"/>
    <w:rsid w:val="29C83E24"/>
    <w:rsid w:val="2A0D4760"/>
    <w:rsid w:val="2A58454F"/>
    <w:rsid w:val="2A6C706D"/>
    <w:rsid w:val="2AB204A5"/>
    <w:rsid w:val="2ACB2EF2"/>
    <w:rsid w:val="2AF13BEE"/>
    <w:rsid w:val="2AF160F0"/>
    <w:rsid w:val="2AFE1262"/>
    <w:rsid w:val="2B511F09"/>
    <w:rsid w:val="2B5D2E86"/>
    <w:rsid w:val="2B810B41"/>
    <w:rsid w:val="2BB3671D"/>
    <w:rsid w:val="2C4F1FE4"/>
    <w:rsid w:val="2C5E53FF"/>
    <w:rsid w:val="2CC55E62"/>
    <w:rsid w:val="2DA31DDE"/>
    <w:rsid w:val="2DA735D6"/>
    <w:rsid w:val="2DAE34B9"/>
    <w:rsid w:val="2DC12790"/>
    <w:rsid w:val="2E69320E"/>
    <w:rsid w:val="2E7A6958"/>
    <w:rsid w:val="2EA5422A"/>
    <w:rsid w:val="2EB11D5E"/>
    <w:rsid w:val="2EB23898"/>
    <w:rsid w:val="2EB75EBD"/>
    <w:rsid w:val="2EE73866"/>
    <w:rsid w:val="2F0118B9"/>
    <w:rsid w:val="2F4250B0"/>
    <w:rsid w:val="2F6855EB"/>
    <w:rsid w:val="2FF402B1"/>
    <w:rsid w:val="303D44B0"/>
    <w:rsid w:val="304D3CBB"/>
    <w:rsid w:val="308C5BA3"/>
    <w:rsid w:val="30A648F1"/>
    <w:rsid w:val="30AD2A34"/>
    <w:rsid w:val="30BA410F"/>
    <w:rsid w:val="30C64B11"/>
    <w:rsid w:val="31115D00"/>
    <w:rsid w:val="31431A75"/>
    <w:rsid w:val="31723D70"/>
    <w:rsid w:val="318225C0"/>
    <w:rsid w:val="319A66D0"/>
    <w:rsid w:val="31A96A1A"/>
    <w:rsid w:val="31C4442B"/>
    <w:rsid w:val="32272687"/>
    <w:rsid w:val="32294E3B"/>
    <w:rsid w:val="32397FF3"/>
    <w:rsid w:val="32633A0A"/>
    <w:rsid w:val="327E1ACD"/>
    <w:rsid w:val="32862C04"/>
    <w:rsid w:val="32936AA7"/>
    <w:rsid w:val="329D5CD4"/>
    <w:rsid w:val="32FE2812"/>
    <w:rsid w:val="33B42114"/>
    <w:rsid w:val="3404533F"/>
    <w:rsid w:val="342614F6"/>
    <w:rsid w:val="344F5AC7"/>
    <w:rsid w:val="351505EF"/>
    <w:rsid w:val="35413416"/>
    <w:rsid w:val="356D6A1F"/>
    <w:rsid w:val="358F6DAA"/>
    <w:rsid w:val="359C4D40"/>
    <w:rsid w:val="35B50EA1"/>
    <w:rsid w:val="35C41DF1"/>
    <w:rsid w:val="363429C0"/>
    <w:rsid w:val="36654023"/>
    <w:rsid w:val="36A940AE"/>
    <w:rsid w:val="370A1DC3"/>
    <w:rsid w:val="372E5140"/>
    <w:rsid w:val="3787407F"/>
    <w:rsid w:val="37C25041"/>
    <w:rsid w:val="37CB2842"/>
    <w:rsid w:val="37E34E12"/>
    <w:rsid w:val="38973FE4"/>
    <w:rsid w:val="391B5A4F"/>
    <w:rsid w:val="39717879"/>
    <w:rsid w:val="397963A9"/>
    <w:rsid w:val="39905C98"/>
    <w:rsid w:val="3A717C9C"/>
    <w:rsid w:val="3A76452D"/>
    <w:rsid w:val="3AD50AC5"/>
    <w:rsid w:val="3AF90CBF"/>
    <w:rsid w:val="3B2E6F01"/>
    <w:rsid w:val="3B5B7ABE"/>
    <w:rsid w:val="3B9E0EF3"/>
    <w:rsid w:val="3BF108E5"/>
    <w:rsid w:val="3C4F6449"/>
    <w:rsid w:val="3D7D3B8B"/>
    <w:rsid w:val="3DA365C7"/>
    <w:rsid w:val="3DDB222A"/>
    <w:rsid w:val="3E1068C3"/>
    <w:rsid w:val="3E1115B5"/>
    <w:rsid w:val="3E2C77C7"/>
    <w:rsid w:val="3E400E82"/>
    <w:rsid w:val="3E4E4A8A"/>
    <w:rsid w:val="3E506E48"/>
    <w:rsid w:val="3E522735"/>
    <w:rsid w:val="3E5A3F84"/>
    <w:rsid w:val="3E7B4B61"/>
    <w:rsid w:val="3EB15A4F"/>
    <w:rsid w:val="3ED242F2"/>
    <w:rsid w:val="3EE06BC4"/>
    <w:rsid w:val="3EE558B5"/>
    <w:rsid w:val="3FC719B7"/>
    <w:rsid w:val="3FE34ECE"/>
    <w:rsid w:val="3FED117E"/>
    <w:rsid w:val="3FFC4B0C"/>
    <w:rsid w:val="4024150B"/>
    <w:rsid w:val="403F00D7"/>
    <w:rsid w:val="40AD17CA"/>
    <w:rsid w:val="40D70CA4"/>
    <w:rsid w:val="412218A0"/>
    <w:rsid w:val="416B2613"/>
    <w:rsid w:val="41DA140E"/>
    <w:rsid w:val="41F20501"/>
    <w:rsid w:val="4208153F"/>
    <w:rsid w:val="42164427"/>
    <w:rsid w:val="42224B5B"/>
    <w:rsid w:val="42342DD3"/>
    <w:rsid w:val="426F0CF6"/>
    <w:rsid w:val="43041FD8"/>
    <w:rsid w:val="4322227B"/>
    <w:rsid w:val="437716FE"/>
    <w:rsid w:val="43A766C9"/>
    <w:rsid w:val="43A82CFB"/>
    <w:rsid w:val="43AA4B02"/>
    <w:rsid w:val="43D56F87"/>
    <w:rsid w:val="43EB0E95"/>
    <w:rsid w:val="442A6638"/>
    <w:rsid w:val="443365B6"/>
    <w:rsid w:val="44475ABD"/>
    <w:rsid w:val="44602DE3"/>
    <w:rsid w:val="44CE2877"/>
    <w:rsid w:val="44CE68FD"/>
    <w:rsid w:val="44DA50F5"/>
    <w:rsid w:val="44EF58FF"/>
    <w:rsid w:val="44F448E3"/>
    <w:rsid w:val="44F921B1"/>
    <w:rsid w:val="45417326"/>
    <w:rsid w:val="45487E01"/>
    <w:rsid w:val="455478B1"/>
    <w:rsid w:val="45B61032"/>
    <w:rsid w:val="46220E84"/>
    <w:rsid w:val="463260EC"/>
    <w:rsid w:val="468D6F55"/>
    <w:rsid w:val="46910CC3"/>
    <w:rsid w:val="46CC65EB"/>
    <w:rsid w:val="46F30B6A"/>
    <w:rsid w:val="473A499B"/>
    <w:rsid w:val="473E1EA9"/>
    <w:rsid w:val="474F3CF6"/>
    <w:rsid w:val="476A452D"/>
    <w:rsid w:val="47827CE8"/>
    <w:rsid w:val="479A55EE"/>
    <w:rsid w:val="47BE7472"/>
    <w:rsid w:val="48573328"/>
    <w:rsid w:val="487E0894"/>
    <w:rsid w:val="488F1F8D"/>
    <w:rsid w:val="48CD316B"/>
    <w:rsid w:val="48F56F3A"/>
    <w:rsid w:val="493836DA"/>
    <w:rsid w:val="49C27385"/>
    <w:rsid w:val="49E94521"/>
    <w:rsid w:val="4A717966"/>
    <w:rsid w:val="4AEA4F86"/>
    <w:rsid w:val="4B7B063E"/>
    <w:rsid w:val="4BAB2E26"/>
    <w:rsid w:val="4BDA6084"/>
    <w:rsid w:val="4C173EE4"/>
    <w:rsid w:val="4C477AD4"/>
    <w:rsid w:val="4C607139"/>
    <w:rsid w:val="4C7048AE"/>
    <w:rsid w:val="4CDF40DB"/>
    <w:rsid w:val="4CF57B8D"/>
    <w:rsid w:val="4D036064"/>
    <w:rsid w:val="4D96081D"/>
    <w:rsid w:val="4DBC6C66"/>
    <w:rsid w:val="4DEC5E09"/>
    <w:rsid w:val="4E471B2D"/>
    <w:rsid w:val="4E4C74A7"/>
    <w:rsid w:val="4E5C0BD0"/>
    <w:rsid w:val="4E7B18EF"/>
    <w:rsid w:val="4E9C5BF5"/>
    <w:rsid w:val="4EB361A2"/>
    <w:rsid w:val="4ED56B2B"/>
    <w:rsid w:val="4EDB5803"/>
    <w:rsid w:val="4F025BC0"/>
    <w:rsid w:val="4F0B2432"/>
    <w:rsid w:val="4F0C0455"/>
    <w:rsid w:val="4F3B3E0A"/>
    <w:rsid w:val="4F611DDF"/>
    <w:rsid w:val="4FA21F5E"/>
    <w:rsid w:val="50121DF1"/>
    <w:rsid w:val="506D3A2E"/>
    <w:rsid w:val="50747597"/>
    <w:rsid w:val="507F7EB0"/>
    <w:rsid w:val="50D90E3F"/>
    <w:rsid w:val="51057895"/>
    <w:rsid w:val="51455C9A"/>
    <w:rsid w:val="51585983"/>
    <w:rsid w:val="52027174"/>
    <w:rsid w:val="52491F14"/>
    <w:rsid w:val="52714A0D"/>
    <w:rsid w:val="528C2675"/>
    <w:rsid w:val="52936A04"/>
    <w:rsid w:val="52C77298"/>
    <w:rsid w:val="52CA4B93"/>
    <w:rsid w:val="531B299D"/>
    <w:rsid w:val="53393D03"/>
    <w:rsid w:val="535860DC"/>
    <w:rsid w:val="53800563"/>
    <w:rsid w:val="539E7A17"/>
    <w:rsid w:val="53C67F4C"/>
    <w:rsid w:val="53FB0385"/>
    <w:rsid w:val="54777D5C"/>
    <w:rsid w:val="548364B3"/>
    <w:rsid w:val="54851D9C"/>
    <w:rsid w:val="54B016B6"/>
    <w:rsid w:val="54D62F0C"/>
    <w:rsid w:val="55C1444A"/>
    <w:rsid w:val="562557A0"/>
    <w:rsid w:val="56274318"/>
    <w:rsid w:val="562F75FD"/>
    <w:rsid w:val="566A5479"/>
    <w:rsid w:val="567F1EA1"/>
    <w:rsid w:val="568B471F"/>
    <w:rsid w:val="56F5325E"/>
    <w:rsid w:val="57596F0B"/>
    <w:rsid w:val="57C85437"/>
    <w:rsid w:val="57D97FF1"/>
    <w:rsid w:val="57EA5D36"/>
    <w:rsid w:val="58027B27"/>
    <w:rsid w:val="584379F8"/>
    <w:rsid w:val="585C2844"/>
    <w:rsid w:val="589E4548"/>
    <w:rsid w:val="58A6629F"/>
    <w:rsid w:val="58B82542"/>
    <w:rsid w:val="58BB71A9"/>
    <w:rsid w:val="58C20E22"/>
    <w:rsid w:val="59051B84"/>
    <w:rsid w:val="59732B7C"/>
    <w:rsid w:val="59821164"/>
    <w:rsid w:val="59C21B40"/>
    <w:rsid w:val="59CA5C05"/>
    <w:rsid w:val="59D7322F"/>
    <w:rsid w:val="5A3E2375"/>
    <w:rsid w:val="5A8A4A8E"/>
    <w:rsid w:val="5ABE5EBD"/>
    <w:rsid w:val="5B4041A6"/>
    <w:rsid w:val="5B8C24DA"/>
    <w:rsid w:val="5B8D5D01"/>
    <w:rsid w:val="5BDA5E81"/>
    <w:rsid w:val="5BE7347F"/>
    <w:rsid w:val="5C1C0DCA"/>
    <w:rsid w:val="5C53230B"/>
    <w:rsid w:val="5D2E096D"/>
    <w:rsid w:val="5D37191C"/>
    <w:rsid w:val="5D4553CB"/>
    <w:rsid w:val="5D546FD5"/>
    <w:rsid w:val="5D8E7BFC"/>
    <w:rsid w:val="5DAB695E"/>
    <w:rsid w:val="5DB77C77"/>
    <w:rsid w:val="5DBD497D"/>
    <w:rsid w:val="5E00208B"/>
    <w:rsid w:val="5E1145B0"/>
    <w:rsid w:val="5E8661D8"/>
    <w:rsid w:val="5ED92F78"/>
    <w:rsid w:val="5F39299A"/>
    <w:rsid w:val="5F734CCA"/>
    <w:rsid w:val="5F816B3B"/>
    <w:rsid w:val="5FEC6A29"/>
    <w:rsid w:val="5FF97043"/>
    <w:rsid w:val="600528DB"/>
    <w:rsid w:val="60104A1E"/>
    <w:rsid w:val="605E1DEA"/>
    <w:rsid w:val="606971B1"/>
    <w:rsid w:val="606C55D1"/>
    <w:rsid w:val="608929C5"/>
    <w:rsid w:val="609A57C2"/>
    <w:rsid w:val="61050003"/>
    <w:rsid w:val="6132762C"/>
    <w:rsid w:val="61697A7D"/>
    <w:rsid w:val="61D42936"/>
    <w:rsid w:val="61E51291"/>
    <w:rsid w:val="61F41846"/>
    <w:rsid w:val="62861EAA"/>
    <w:rsid w:val="62F9197F"/>
    <w:rsid w:val="633820A6"/>
    <w:rsid w:val="637162CF"/>
    <w:rsid w:val="637B3E86"/>
    <w:rsid w:val="63A10C80"/>
    <w:rsid w:val="63C7008B"/>
    <w:rsid w:val="63EE5991"/>
    <w:rsid w:val="6434736D"/>
    <w:rsid w:val="644E0A32"/>
    <w:rsid w:val="649E3B5C"/>
    <w:rsid w:val="64DC7CEB"/>
    <w:rsid w:val="65015019"/>
    <w:rsid w:val="650776F1"/>
    <w:rsid w:val="65590509"/>
    <w:rsid w:val="656454BD"/>
    <w:rsid w:val="65F11B35"/>
    <w:rsid w:val="66010AF6"/>
    <w:rsid w:val="663B294F"/>
    <w:rsid w:val="66707DFA"/>
    <w:rsid w:val="669034B3"/>
    <w:rsid w:val="66F32F0E"/>
    <w:rsid w:val="671036AF"/>
    <w:rsid w:val="671B7EEA"/>
    <w:rsid w:val="673B20F9"/>
    <w:rsid w:val="67423763"/>
    <w:rsid w:val="67BD2AF6"/>
    <w:rsid w:val="67E12090"/>
    <w:rsid w:val="67FC61B8"/>
    <w:rsid w:val="68086D13"/>
    <w:rsid w:val="68615817"/>
    <w:rsid w:val="68820673"/>
    <w:rsid w:val="68DB4AEF"/>
    <w:rsid w:val="6969768F"/>
    <w:rsid w:val="696B24A9"/>
    <w:rsid w:val="698A2A90"/>
    <w:rsid w:val="69965724"/>
    <w:rsid w:val="6A177650"/>
    <w:rsid w:val="6A227B2A"/>
    <w:rsid w:val="6A355461"/>
    <w:rsid w:val="6A4467AA"/>
    <w:rsid w:val="6A4F6858"/>
    <w:rsid w:val="6A6C17DD"/>
    <w:rsid w:val="6ACC3EEB"/>
    <w:rsid w:val="6BA2466B"/>
    <w:rsid w:val="6BBF10CF"/>
    <w:rsid w:val="6C6E3242"/>
    <w:rsid w:val="6C880ED2"/>
    <w:rsid w:val="6D2166C8"/>
    <w:rsid w:val="6D3535AA"/>
    <w:rsid w:val="6D3951DB"/>
    <w:rsid w:val="6D47619E"/>
    <w:rsid w:val="6DAD24D7"/>
    <w:rsid w:val="6DE06546"/>
    <w:rsid w:val="6E042333"/>
    <w:rsid w:val="6E071E61"/>
    <w:rsid w:val="6E1845CD"/>
    <w:rsid w:val="6E9E335D"/>
    <w:rsid w:val="6ED72DF8"/>
    <w:rsid w:val="6ED91546"/>
    <w:rsid w:val="6EFE29E5"/>
    <w:rsid w:val="6F272654"/>
    <w:rsid w:val="6F543D73"/>
    <w:rsid w:val="6F6748D6"/>
    <w:rsid w:val="6FEB22F2"/>
    <w:rsid w:val="6FF92610"/>
    <w:rsid w:val="704E7517"/>
    <w:rsid w:val="70624CFC"/>
    <w:rsid w:val="707725B8"/>
    <w:rsid w:val="7086386B"/>
    <w:rsid w:val="708E0AAD"/>
    <w:rsid w:val="70B54896"/>
    <w:rsid w:val="711853A1"/>
    <w:rsid w:val="71457A92"/>
    <w:rsid w:val="71C865FF"/>
    <w:rsid w:val="71F57801"/>
    <w:rsid w:val="71F675CF"/>
    <w:rsid w:val="720D2F9D"/>
    <w:rsid w:val="723E546F"/>
    <w:rsid w:val="725A7695"/>
    <w:rsid w:val="72802232"/>
    <w:rsid w:val="72A2470E"/>
    <w:rsid w:val="72AB48E6"/>
    <w:rsid w:val="72AB775A"/>
    <w:rsid w:val="72EB12A6"/>
    <w:rsid w:val="7317696F"/>
    <w:rsid w:val="73391AC7"/>
    <w:rsid w:val="73AA2DD2"/>
    <w:rsid w:val="73BA3636"/>
    <w:rsid w:val="74102BF5"/>
    <w:rsid w:val="74480ED8"/>
    <w:rsid w:val="7458316E"/>
    <w:rsid w:val="7474148A"/>
    <w:rsid w:val="74755C01"/>
    <w:rsid w:val="74A262E2"/>
    <w:rsid w:val="74A905A6"/>
    <w:rsid w:val="74AD5CC5"/>
    <w:rsid w:val="74B53F76"/>
    <w:rsid w:val="74CE637B"/>
    <w:rsid w:val="74CF48DE"/>
    <w:rsid w:val="75397541"/>
    <w:rsid w:val="75673FA9"/>
    <w:rsid w:val="760F1667"/>
    <w:rsid w:val="7622537E"/>
    <w:rsid w:val="7624642E"/>
    <w:rsid w:val="763E18BE"/>
    <w:rsid w:val="768D0F54"/>
    <w:rsid w:val="76963B64"/>
    <w:rsid w:val="7726768C"/>
    <w:rsid w:val="77485B4B"/>
    <w:rsid w:val="77654CBC"/>
    <w:rsid w:val="779450E4"/>
    <w:rsid w:val="77B466DA"/>
    <w:rsid w:val="77C36F3B"/>
    <w:rsid w:val="77D24A15"/>
    <w:rsid w:val="77D90BB8"/>
    <w:rsid w:val="77F9134D"/>
    <w:rsid w:val="78312A9B"/>
    <w:rsid w:val="783B224C"/>
    <w:rsid w:val="78516088"/>
    <w:rsid w:val="78954C88"/>
    <w:rsid w:val="78983EF5"/>
    <w:rsid w:val="78B20E9C"/>
    <w:rsid w:val="78E52B1B"/>
    <w:rsid w:val="79C65CA7"/>
    <w:rsid w:val="7A345BCB"/>
    <w:rsid w:val="7A392094"/>
    <w:rsid w:val="7A71774B"/>
    <w:rsid w:val="7A994AA6"/>
    <w:rsid w:val="7ABB0D0D"/>
    <w:rsid w:val="7B0539A3"/>
    <w:rsid w:val="7B092148"/>
    <w:rsid w:val="7B8B2FF9"/>
    <w:rsid w:val="7BEF445B"/>
    <w:rsid w:val="7C512BEB"/>
    <w:rsid w:val="7C791F26"/>
    <w:rsid w:val="7C7E2DAB"/>
    <w:rsid w:val="7CA725BB"/>
    <w:rsid w:val="7CC95C11"/>
    <w:rsid w:val="7D011B24"/>
    <w:rsid w:val="7D365589"/>
    <w:rsid w:val="7D6B357F"/>
    <w:rsid w:val="7D756C01"/>
    <w:rsid w:val="7D7C4B80"/>
    <w:rsid w:val="7DBF27B3"/>
    <w:rsid w:val="7DE16BA9"/>
    <w:rsid w:val="7EBC560B"/>
    <w:rsid w:val="7F326B39"/>
    <w:rsid w:val="7F372864"/>
    <w:rsid w:val="7F4D0FEB"/>
    <w:rsid w:val="7F721770"/>
    <w:rsid w:val="7F7D6EC7"/>
    <w:rsid w:val="7F8159B0"/>
    <w:rsid w:val="7F8E2E8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nhideWhenUsed="0" w:uiPriority="0" w:semiHidden="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99"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qFormat="1"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iPriority="0" w:semiHidden="0" w:name="Table Grid"/>
    <w:lsdException w:uiPriority="0"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sz w:val="21"/>
      <w:szCs w:val="22"/>
      <w:lang w:val="en-US" w:eastAsia="zh-CN" w:bidi="ar-SA"/>
    </w:rPr>
  </w:style>
  <w:style w:type="paragraph" w:styleId="5">
    <w:name w:val="heading 1"/>
    <w:basedOn w:val="1"/>
    <w:next w:val="1"/>
    <w:qFormat/>
    <w:uiPriority w:val="0"/>
    <w:pPr>
      <w:keepNext/>
      <w:keepLines/>
      <w:spacing w:line="360" w:lineRule="auto"/>
      <w:jc w:val="center"/>
      <w:outlineLvl w:val="0"/>
    </w:pPr>
    <w:rPr>
      <w:rFonts w:ascii="Calibri" w:hAnsi="Calibri" w:eastAsia="华文细黑"/>
      <w:b/>
      <w:bCs/>
      <w:kern w:val="44"/>
      <w:sz w:val="28"/>
      <w:szCs w:val="44"/>
    </w:rPr>
  </w:style>
  <w:style w:type="paragraph" w:styleId="6">
    <w:name w:val="heading 2"/>
    <w:basedOn w:val="1"/>
    <w:next w:val="1"/>
    <w:qFormat/>
    <w:uiPriority w:val="0"/>
    <w:pPr>
      <w:keepNext/>
      <w:keepLines/>
      <w:spacing w:line="360" w:lineRule="auto"/>
      <w:outlineLvl w:val="1"/>
    </w:pPr>
    <w:rPr>
      <w:rFonts w:ascii="Arial" w:hAnsi="Arial"/>
      <w:b/>
      <w:bCs/>
      <w:sz w:val="24"/>
      <w:szCs w:val="32"/>
    </w:rPr>
  </w:style>
  <w:style w:type="paragraph" w:styleId="7">
    <w:name w:val="heading 3"/>
    <w:basedOn w:val="1"/>
    <w:next w:val="1"/>
    <w:qFormat/>
    <w:uiPriority w:val="0"/>
    <w:pPr>
      <w:keepNext/>
      <w:keepLines/>
      <w:spacing w:line="360" w:lineRule="auto"/>
      <w:ind w:firstLine="200" w:firstLineChars="200"/>
      <w:outlineLvl w:val="2"/>
    </w:pPr>
    <w:rPr>
      <w:b/>
      <w:bCs/>
      <w:szCs w:val="32"/>
    </w:rPr>
  </w:style>
  <w:style w:type="paragraph" w:styleId="8">
    <w:name w:val="heading 4"/>
    <w:basedOn w:val="1"/>
    <w:next w:val="1"/>
    <w:link w:val="57"/>
    <w:semiHidden/>
    <w:unhideWhenUsed/>
    <w:qFormat/>
    <w:uiPriority w:val="0"/>
    <w:pPr>
      <w:keepNext/>
      <w:keepLines/>
      <w:spacing w:before="280" w:after="290" w:line="376" w:lineRule="auto"/>
      <w:outlineLvl w:val="3"/>
    </w:pPr>
    <w:rPr>
      <w:rFonts w:asciiTheme="majorHAnsi" w:hAnsiTheme="majorHAnsi" w:eastAsiaTheme="majorEastAsia" w:cstheme="majorBidi"/>
      <w:b/>
      <w:bCs/>
      <w:sz w:val="28"/>
      <w:szCs w:val="28"/>
    </w:rPr>
  </w:style>
  <w:style w:type="paragraph" w:styleId="9">
    <w:name w:val="heading 5"/>
    <w:basedOn w:val="1"/>
    <w:next w:val="1"/>
    <w:qFormat/>
    <w:uiPriority w:val="0"/>
    <w:pPr>
      <w:keepNext/>
      <w:keepLines/>
      <w:spacing w:before="280" w:after="290" w:line="372" w:lineRule="auto"/>
      <w:outlineLvl w:val="4"/>
    </w:pPr>
    <w:rPr>
      <w:b/>
      <w:bCs/>
      <w:sz w:val="28"/>
      <w:szCs w:val="28"/>
    </w:rPr>
  </w:style>
  <w:style w:type="character" w:default="1" w:styleId="29">
    <w:name w:val="Default Paragraph Font"/>
    <w:semiHidden/>
    <w:unhideWhenUsed/>
    <w:qFormat/>
    <w:uiPriority w:val="1"/>
  </w:style>
  <w:style w:type="table" w:default="1" w:styleId="27">
    <w:name w:val="Normal Table"/>
    <w:semiHidden/>
    <w:unhideWhenUsed/>
    <w:qFormat/>
    <w:uiPriority w:val="99"/>
    <w:tblPr>
      <w:tblCellMar>
        <w:top w:w="0" w:type="dxa"/>
        <w:left w:w="108" w:type="dxa"/>
        <w:bottom w:w="0" w:type="dxa"/>
        <w:right w:w="108" w:type="dxa"/>
      </w:tblCellMar>
    </w:tblPr>
  </w:style>
  <w:style w:type="paragraph" w:styleId="2">
    <w:name w:val="Body Text First Indent"/>
    <w:basedOn w:val="3"/>
    <w:next w:val="1"/>
    <w:qFormat/>
    <w:uiPriority w:val="0"/>
    <w:pPr>
      <w:ind w:firstLine="420" w:firstLineChars="100"/>
    </w:pPr>
    <w:rPr>
      <w:sz w:val="34"/>
      <w:szCs w:val="20"/>
    </w:rPr>
  </w:style>
  <w:style w:type="paragraph" w:styleId="3">
    <w:name w:val="Body Text"/>
    <w:basedOn w:val="1"/>
    <w:next w:val="4"/>
    <w:qFormat/>
    <w:uiPriority w:val="1"/>
    <w:rPr>
      <w:sz w:val="24"/>
      <w:szCs w:val="24"/>
    </w:rPr>
  </w:style>
  <w:style w:type="paragraph" w:styleId="4">
    <w:name w:val="Body Text 2"/>
    <w:basedOn w:val="1"/>
    <w:next w:val="3"/>
    <w:qFormat/>
    <w:uiPriority w:val="0"/>
    <w:pPr>
      <w:spacing w:line="480" w:lineRule="auto"/>
    </w:pPr>
  </w:style>
  <w:style w:type="paragraph" w:styleId="10">
    <w:name w:val="toc 7"/>
    <w:next w:val="1"/>
    <w:qFormat/>
    <w:uiPriority w:val="0"/>
    <w:pPr>
      <w:ind w:left="1260"/>
    </w:pPr>
    <w:rPr>
      <w:rFonts w:ascii="Calibri" w:hAnsi="Calibri" w:eastAsia="宋体" w:cs="Times New Roman"/>
      <w:sz w:val="18"/>
      <w:szCs w:val="18"/>
      <w:lang w:val="en-US" w:eastAsia="zh-CN" w:bidi="ar-SA"/>
    </w:rPr>
  </w:style>
  <w:style w:type="paragraph" w:styleId="11">
    <w:name w:val="Normal Indent"/>
    <w:basedOn w:val="1"/>
    <w:qFormat/>
    <w:uiPriority w:val="99"/>
    <w:pPr>
      <w:ind w:firstLine="420" w:firstLineChars="200"/>
    </w:pPr>
  </w:style>
  <w:style w:type="paragraph" w:styleId="12">
    <w:name w:val="annotation text"/>
    <w:basedOn w:val="1"/>
    <w:qFormat/>
    <w:uiPriority w:val="0"/>
    <w:pPr>
      <w:jc w:val="left"/>
    </w:pPr>
  </w:style>
  <w:style w:type="paragraph" w:styleId="13">
    <w:name w:val="toc 5"/>
    <w:next w:val="1"/>
    <w:qFormat/>
    <w:uiPriority w:val="0"/>
    <w:pPr>
      <w:ind w:left="840"/>
    </w:pPr>
    <w:rPr>
      <w:rFonts w:ascii="Calibri" w:hAnsi="Calibri" w:eastAsia="宋体" w:cs="Times New Roman"/>
      <w:sz w:val="18"/>
      <w:szCs w:val="18"/>
      <w:lang w:val="en-US" w:eastAsia="zh-CN" w:bidi="ar-SA"/>
    </w:rPr>
  </w:style>
  <w:style w:type="paragraph" w:styleId="14">
    <w:name w:val="toc 3"/>
    <w:next w:val="1"/>
    <w:qFormat/>
    <w:uiPriority w:val="0"/>
    <w:pPr>
      <w:ind w:left="420"/>
    </w:pPr>
    <w:rPr>
      <w:rFonts w:ascii="Calibri" w:hAnsi="Calibri" w:eastAsia="宋体" w:cs="Times New Roman"/>
      <w:i/>
      <w:iCs/>
      <w:lang w:val="en-US" w:eastAsia="zh-CN" w:bidi="ar-SA"/>
    </w:rPr>
  </w:style>
  <w:style w:type="paragraph" w:styleId="15">
    <w:name w:val="Plain Text"/>
    <w:basedOn w:val="1"/>
    <w:qFormat/>
    <w:uiPriority w:val="0"/>
    <w:rPr>
      <w:rFonts w:ascii="宋体" w:hAnsi="Courier New" w:cs="Courier New"/>
      <w:szCs w:val="21"/>
    </w:rPr>
  </w:style>
  <w:style w:type="paragraph" w:styleId="16">
    <w:name w:val="toc 8"/>
    <w:next w:val="1"/>
    <w:qFormat/>
    <w:uiPriority w:val="0"/>
    <w:pPr>
      <w:ind w:left="1470"/>
    </w:pPr>
    <w:rPr>
      <w:rFonts w:ascii="Calibri" w:hAnsi="Calibri" w:eastAsia="宋体" w:cs="Times New Roman"/>
      <w:sz w:val="18"/>
      <w:szCs w:val="18"/>
      <w:lang w:val="en-US" w:eastAsia="zh-CN" w:bidi="ar-SA"/>
    </w:rPr>
  </w:style>
  <w:style w:type="paragraph" w:styleId="17">
    <w:name w:val="Date"/>
    <w:basedOn w:val="1"/>
    <w:next w:val="1"/>
    <w:qFormat/>
    <w:uiPriority w:val="0"/>
    <w:rPr>
      <w:rFonts w:eastAsia="仿宋_GB2312"/>
      <w:sz w:val="28"/>
      <w:szCs w:val="20"/>
    </w:rPr>
  </w:style>
  <w:style w:type="paragraph" w:styleId="18">
    <w:name w:val="footer"/>
    <w:basedOn w:val="1"/>
    <w:qFormat/>
    <w:uiPriority w:val="0"/>
    <w:pPr>
      <w:tabs>
        <w:tab w:val="center" w:pos="4153"/>
        <w:tab w:val="right" w:pos="8306"/>
      </w:tabs>
      <w:snapToGrid w:val="0"/>
      <w:jc w:val="left"/>
    </w:pPr>
    <w:rPr>
      <w:sz w:val="18"/>
      <w:szCs w:val="18"/>
    </w:rPr>
  </w:style>
  <w:style w:type="paragraph" w:styleId="19">
    <w:name w:val="header"/>
    <w:basedOn w:val="1"/>
    <w:link w:val="55"/>
    <w:qFormat/>
    <w:uiPriority w:val="0"/>
    <w:pPr>
      <w:pBdr>
        <w:bottom w:val="single" w:color="auto" w:sz="6" w:space="1"/>
      </w:pBdr>
      <w:tabs>
        <w:tab w:val="center" w:pos="4153"/>
        <w:tab w:val="right" w:pos="8306"/>
      </w:tabs>
      <w:snapToGrid w:val="0"/>
      <w:jc w:val="center"/>
    </w:pPr>
    <w:rPr>
      <w:sz w:val="18"/>
      <w:szCs w:val="18"/>
    </w:rPr>
  </w:style>
  <w:style w:type="paragraph" w:styleId="20">
    <w:name w:val="toc 1"/>
    <w:next w:val="1"/>
    <w:qFormat/>
    <w:uiPriority w:val="0"/>
    <w:pPr>
      <w:spacing w:beforeLines="38" w:afterLines="38"/>
    </w:pPr>
    <w:rPr>
      <w:rFonts w:ascii="Calibri" w:hAnsi="Calibri" w:eastAsia="宋体" w:cs="Times New Roman"/>
      <w:b/>
      <w:bCs/>
      <w:lang w:val="en-US" w:eastAsia="zh-CN" w:bidi="ar-SA"/>
    </w:rPr>
  </w:style>
  <w:style w:type="paragraph" w:styleId="21">
    <w:name w:val="toc 4"/>
    <w:next w:val="1"/>
    <w:qFormat/>
    <w:uiPriority w:val="0"/>
    <w:pPr>
      <w:ind w:left="630"/>
    </w:pPr>
    <w:rPr>
      <w:rFonts w:ascii="Calibri" w:hAnsi="Calibri" w:eastAsia="宋体" w:cs="Times New Roman"/>
      <w:sz w:val="18"/>
      <w:szCs w:val="18"/>
      <w:lang w:val="en-US" w:eastAsia="zh-CN" w:bidi="ar-SA"/>
    </w:rPr>
  </w:style>
  <w:style w:type="paragraph" w:styleId="22">
    <w:name w:val="toc 6"/>
    <w:next w:val="1"/>
    <w:qFormat/>
    <w:uiPriority w:val="0"/>
    <w:pPr>
      <w:ind w:left="1050"/>
    </w:pPr>
    <w:rPr>
      <w:rFonts w:ascii="Calibri" w:hAnsi="Calibri" w:eastAsia="宋体" w:cs="Times New Roman"/>
      <w:sz w:val="18"/>
      <w:szCs w:val="18"/>
      <w:lang w:val="en-US" w:eastAsia="zh-CN" w:bidi="ar-SA"/>
    </w:rPr>
  </w:style>
  <w:style w:type="paragraph" w:styleId="23">
    <w:name w:val="toc 2"/>
    <w:basedOn w:val="1"/>
    <w:next w:val="1"/>
    <w:qFormat/>
    <w:uiPriority w:val="0"/>
    <w:pPr>
      <w:ind w:left="210"/>
    </w:pPr>
    <w:rPr>
      <w:rFonts w:ascii="Calibri" w:hAnsi="Calibri"/>
      <w:smallCaps/>
    </w:rPr>
  </w:style>
  <w:style w:type="paragraph" w:styleId="24">
    <w:name w:val="toc 9"/>
    <w:next w:val="1"/>
    <w:qFormat/>
    <w:uiPriority w:val="0"/>
    <w:pPr>
      <w:ind w:left="1680"/>
    </w:pPr>
    <w:rPr>
      <w:rFonts w:ascii="Calibri" w:hAnsi="Calibri" w:eastAsia="宋体" w:cs="Times New Roman"/>
      <w:sz w:val="18"/>
      <w:szCs w:val="18"/>
      <w:lang w:val="en-US" w:eastAsia="zh-CN" w:bidi="ar-SA"/>
    </w:rPr>
  </w:style>
  <w:style w:type="paragraph" w:styleId="25">
    <w:name w:val="Normal (Web)"/>
    <w:basedOn w:val="1"/>
    <w:qFormat/>
    <w:uiPriority w:val="0"/>
    <w:pPr>
      <w:widowControl/>
      <w:spacing w:before="100" w:beforeAutospacing="1" w:after="100" w:afterAutospacing="1"/>
      <w:jc w:val="left"/>
    </w:pPr>
    <w:rPr>
      <w:sz w:val="24"/>
    </w:rPr>
  </w:style>
  <w:style w:type="paragraph" w:styleId="26">
    <w:name w:val="Title"/>
    <w:basedOn w:val="1"/>
    <w:next w:val="1"/>
    <w:qFormat/>
    <w:uiPriority w:val="0"/>
    <w:pPr>
      <w:adjustRightInd w:val="0"/>
      <w:spacing w:before="240" w:after="60" w:line="420" w:lineRule="atLeast"/>
      <w:jc w:val="center"/>
      <w:textAlignment w:val="baseline"/>
      <w:outlineLvl w:val="0"/>
    </w:pPr>
    <w:rPr>
      <w:rFonts w:ascii="Arial" w:hAnsi="Arial"/>
      <w:b/>
      <w:sz w:val="32"/>
      <w:szCs w:val="20"/>
    </w:rPr>
  </w:style>
  <w:style w:type="table" w:styleId="28">
    <w:name w:val="Table Grid"/>
    <w:basedOn w:val="27"/>
    <w:unhideWhenUsed/>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0">
    <w:name w:val="Strong"/>
    <w:basedOn w:val="29"/>
    <w:qFormat/>
    <w:uiPriority w:val="0"/>
    <w:rPr>
      <w:b/>
      <w:bCs/>
    </w:rPr>
  </w:style>
  <w:style w:type="character" w:styleId="31">
    <w:name w:val="page number"/>
    <w:basedOn w:val="29"/>
    <w:qFormat/>
    <w:uiPriority w:val="0"/>
  </w:style>
  <w:style w:type="character" w:styleId="32">
    <w:name w:val="FollowedHyperlink"/>
    <w:basedOn w:val="29"/>
    <w:qFormat/>
    <w:uiPriority w:val="0"/>
    <w:rPr>
      <w:color w:val="3F88BF"/>
      <w:u w:val="none"/>
    </w:rPr>
  </w:style>
  <w:style w:type="character" w:styleId="33">
    <w:name w:val="Emphasis"/>
    <w:basedOn w:val="29"/>
    <w:qFormat/>
    <w:uiPriority w:val="0"/>
  </w:style>
  <w:style w:type="character" w:styleId="34">
    <w:name w:val="HTML Definition"/>
    <w:basedOn w:val="29"/>
    <w:qFormat/>
    <w:uiPriority w:val="0"/>
  </w:style>
  <w:style w:type="character" w:styleId="35">
    <w:name w:val="HTML Typewriter"/>
    <w:basedOn w:val="29"/>
    <w:qFormat/>
    <w:uiPriority w:val="0"/>
    <w:rPr>
      <w:rFonts w:hint="default" w:ascii="monospace" w:hAnsi="monospace" w:eastAsia="monospace" w:cs="monospace"/>
      <w:sz w:val="20"/>
    </w:rPr>
  </w:style>
  <w:style w:type="character" w:styleId="36">
    <w:name w:val="HTML Acronym"/>
    <w:basedOn w:val="29"/>
    <w:qFormat/>
    <w:uiPriority w:val="0"/>
  </w:style>
  <w:style w:type="character" w:styleId="37">
    <w:name w:val="HTML Variable"/>
    <w:basedOn w:val="29"/>
    <w:qFormat/>
    <w:uiPriority w:val="0"/>
  </w:style>
  <w:style w:type="character" w:styleId="38">
    <w:name w:val="Hyperlink"/>
    <w:basedOn w:val="29"/>
    <w:qFormat/>
    <w:uiPriority w:val="0"/>
    <w:rPr>
      <w:color w:val="0000FF" w:themeColor="hyperlink"/>
      <w:u w:val="single"/>
      <w14:textFill>
        <w14:solidFill>
          <w14:schemeClr w14:val="hlink"/>
        </w14:solidFill>
      </w14:textFill>
    </w:rPr>
  </w:style>
  <w:style w:type="character" w:styleId="39">
    <w:name w:val="HTML Code"/>
    <w:basedOn w:val="29"/>
    <w:qFormat/>
    <w:uiPriority w:val="0"/>
    <w:rPr>
      <w:rFonts w:hint="eastAsia" w:ascii="微软雅黑" w:hAnsi="微软雅黑" w:eastAsia="微软雅黑" w:cs="微软雅黑"/>
      <w:sz w:val="20"/>
    </w:rPr>
  </w:style>
  <w:style w:type="character" w:styleId="40">
    <w:name w:val="annotation reference"/>
    <w:basedOn w:val="29"/>
    <w:qFormat/>
    <w:uiPriority w:val="0"/>
    <w:rPr>
      <w:sz w:val="21"/>
      <w:szCs w:val="21"/>
    </w:rPr>
  </w:style>
  <w:style w:type="character" w:styleId="41">
    <w:name w:val="HTML Cite"/>
    <w:basedOn w:val="29"/>
    <w:qFormat/>
    <w:uiPriority w:val="0"/>
  </w:style>
  <w:style w:type="character" w:styleId="42">
    <w:name w:val="HTML Keyboard"/>
    <w:basedOn w:val="29"/>
    <w:qFormat/>
    <w:uiPriority w:val="0"/>
    <w:rPr>
      <w:rFonts w:hint="eastAsia" w:ascii="微软雅黑" w:hAnsi="微软雅黑" w:eastAsia="微软雅黑" w:cs="微软雅黑"/>
      <w:color w:val="3F88BF"/>
      <w:sz w:val="20"/>
      <w:u w:val="none"/>
    </w:rPr>
  </w:style>
  <w:style w:type="character" w:styleId="43">
    <w:name w:val="HTML Sample"/>
    <w:basedOn w:val="29"/>
    <w:qFormat/>
    <w:uiPriority w:val="0"/>
    <w:rPr>
      <w:rFonts w:hint="eastAsia" w:ascii="微软雅黑" w:hAnsi="微软雅黑" w:eastAsia="微软雅黑" w:cs="微软雅黑"/>
    </w:rPr>
  </w:style>
  <w:style w:type="paragraph" w:customStyle="1" w:styleId="44">
    <w:name w:val="样式 标题 2 + Times New Roman 四号 非加粗 段前: 5 磅 段后: 0 磅 行距: 固定值 20..."/>
    <w:basedOn w:val="6"/>
    <w:qFormat/>
    <w:uiPriority w:val="0"/>
    <w:pPr>
      <w:spacing w:before="100" w:line="400" w:lineRule="exact"/>
    </w:pPr>
    <w:rPr>
      <w:rFonts w:ascii="Times New Roman" w:hAnsi="Times New Roman" w:eastAsia="黑体" w:cs="宋体"/>
      <w:b w:val="0"/>
      <w:bCs w:val="0"/>
      <w:sz w:val="28"/>
      <w:szCs w:val="20"/>
    </w:rPr>
  </w:style>
  <w:style w:type="paragraph" w:customStyle="1" w:styleId="45">
    <w:name w:val="样式 标题 3 + (中文) 黑体 小四 非加粗 段前: 7.8 磅 段后: 0 磅 行距: 固定值 20 磅"/>
    <w:basedOn w:val="7"/>
    <w:qFormat/>
    <w:uiPriority w:val="0"/>
    <w:pPr>
      <w:spacing w:line="400" w:lineRule="exact"/>
      <w:ind w:firstLine="0" w:firstLineChars="0"/>
    </w:pPr>
    <w:rPr>
      <w:rFonts w:eastAsia="黑体" w:cs="宋体"/>
      <w:b w:val="0"/>
      <w:bCs w:val="0"/>
      <w:sz w:val="24"/>
      <w:szCs w:val="20"/>
    </w:rPr>
  </w:style>
  <w:style w:type="character" w:customStyle="1" w:styleId="46">
    <w:name w:val="zbggmain style9"/>
    <w:basedOn w:val="29"/>
    <w:qFormat/>
    <w:uiPriority w:val="0"/>
  </w:style>
  <w:style w:type="paragraph" w:customStyle="1" w:styleId="47">
    <w:name w:val="p0"/>
    <w:basedOn w:val="1"/>
    <w:qFormat/>
    <w:uiPriority w:val="0"/>
    <w:pPr>
      <w:widowControl/>
      <w:spacing w:before="100" w:beforeAutospacing="1" w:after="100" w:afterAutospacing="1"/>
      <w:jc w:val="left"/>
    </w:pPr>
    <w:rPr>
      <w:rFonts w:ascii="宋体" w:hAnsi="宋体" w:cs="宋体"/>
      <w:sz w:val="24"/>
    </w:rPr>
  </w:style>
  <w:style w:type="paragraph" w:styleId="48">
    <w:name w:val="No Spacing"/>
    <w:qFormat/>
    <w:uiPriority w:val="1"/>
    <w:pPr>
      <w:widowControl w:val="0"/>
      <w:jc w:val="both"/>
    </w:pPr>
    <w:rPr>
      <w:rFonts w:ascii="Calibri" w:hAnsi="Calibri" w:eastAsia="宋体" w:cs="Times New Roman"/>
      <w:kern w:val="2"/>
      <w:sz w:val="21"/>
      <w:szCs w:val="22"/>
      <w:lang w:val="en-US" w:eastAsia="zh-CN" w:bidi="ar-SA"/>
    </w:rPr>
  </w:style>
  <w:style w:type="paragraph" w:styleId="49">
    <w:name w:val="List Paragraph"/>
    <w:basedOn w:val="1"/>
    <w:qFormat/>
    <w:uiPriority w:val="99"/>
    <w:pPr>
      <w:ind w:firstLine="420" w:firstLineChars="200"/>
    </w:pPr>
  </w:style>
  <w:style w:type="character" w:customStyle="1" w:styleId="50">
    <w:name w:val="answer-title"/>
    <w:basedOn w:val="29"/>
    <w:qFormat/>
    <w:uiPriority w:val="0"/>
  </w:style>
  <w:style w:type="character" w:customStyle="1" w:styleId="51">
    <w:name w:val="num"/>
    <w:basedOn w:val="29"/>
    <w:qFormat/>
    <w:uiPriority w:val="0"/>
    <w:rPr>
      <w:b/>
      <w:color w:val="FF7800"/>
    </w:rPr>
  </w:style>
  <w:style w:type="character" w:customStyle="1" w:styleId="52">
    <w:name w:val="release-day"/>
    <w:basedOn w:val="29"/>
    <w:qFormat/>
    <w:uiPriority w:val="0"/>
    <w:rPr>
      <w:bdr w:val="single" w:color="BDEBB0" w:sz="6" w:space="0"/>
      <w:shd w:val="clear" w:color="auto" w:fill="F5FFF1"/>
    </w:rPr>
  </w:style>
  <w:style w:type="character" w:customStyle="1" w:styleId="53">
    <w:name w:val="num4"/>
    <w:basedOn w:val="29"/>
    <w:qFormat/>
    <w:uiPriority w:val="0"/>
    <w:rPr>
      <w:b/>
      <w:color w:val="FF7800"/>
    </w:rPr>
  </w:style>
  <w:style w:type="character" w:customStyle="1" w:styleId="54">
    <w:name w:val="answer-title8"/>
    <w:basedOn w:val="29"/>
    <w:qFormat/>
    <w:uiPriority w:val="0"/>
  </w:style>
  <w:style w:type="character" w:customStyle="1" w:styleId="55">
    <w:name w:val="页眉 字符"/>
    <w:basedOn w:val="29"/>
    <w:link w:val="19"/>
    <w:qFormat/>
    <w:uiPriority w:val="0"/>
    <w:rPr>
      <w:sz w:val="18"/>
      <w:szCs w:val="18"/>
    </w:rPr>
  </w:style>
  <w:style w:type="paragraph" w:customStyle="1" w:styleId="56">
    <w:name w:val="内文正文"/>
    <w:qFormat/>
    <w:uiPriority w:val="0"/>
    <w:pPr>
      <w:autoSpaceDE w:val="0"/>
      <w:autoSpaceDN w:val="0"/>
      <w:spacing w:line="400" w:lineRule="exact"/>
      <w:ind w:firstLine="200" w:firstLineChars="200"/>
      <w:textAlignment w:val="bottom"/>
    </w:pPr>
    <w:rPr>
      <w:rFonts w:ascii="宋体" w:hAnsi="???|CS?o｡ﾀ?" w:eastAsia="宋体" w:cs="Times New Roman"/>
      <w:szCs w:val="28"/>
      <w:lang w:val="en-US" w:eastAsia="zh-CN" w:bidi="ar-SA"/>
    </w:rPr>
  </w:style>
  <w:style w:type="character" w:customStyle="1" w:styleId="57">
    <w:name w:val="标题 4 字符"/>
    <w:basedOn w:val="29"/>
    <w:link w:val="8"/>
    <w:semiHidden/>
    <w:qFormat/>
    <w:uiPriority w:val="0"/>
    <w:rPr>
      <w:rFonts w:asciiTheme="majorHAnsi" w:hAnsiTheme="majorHAnsi" w:eastAsiaTheme="majorEastAsia" w:cstheme="majorBidi"/>
      <w:b/>
      <w:bCs/>
      <w:sz w:val="28"/>
      <w:szCs w:val="28"/>
    </w:rPr>
  </w:style>
  <w:style w:type="paragraph" w:customStyle="1" w:styleId="58">
    <w:name w:val="Normal_2"/>
    <w:qFormat/>
    <w:uiPriority w:val="0"/>
    <w:pPr>
      <w:spacing w:before="120" w:after="240"/>
      <w:jc w:val="both"/>
    </w:pPr>
    <w:rPr>
      <w:rFonts w:ascii="Times New Roman" w:hAnsi="Times New Roman" w:eastAsia="Times New Roman" w:cs="Times New Roman"/>
      <w:sz w:val="22"/>
      <w:szCs w:val="22"/>
      <w:lang w:val="en-US" w:eastAsia="en-US" w:bidi="ar-SA"/>
    </w:rPr>
  </w:style>
  <w:style w:type="paragraph" w:customStyle="1" w:styleId="59">
    <w:name w:val="Normal_3"/>
    <w:qFormat/>
    <w:uiPriority w:val="0"/>
    <w:pPr>
      <w:spacing w:before="120" w:after="240"/>
      <w:jc w:val="both"/>
    </w:pPr>
    <w:rPr>
      <w:rFonts w:ascii="Times New Roman" w:hAnsi="Times New Roman" w:eastAsia="Times New Roman" w:cs="Times New Roman"/>
      <w:sz w:val="22"/>
      <w:szCs w:val="22"/>
      <w:lang w:val="en-US" w:eastAsia="en-US" w:bidi="ar-SA"/>
    </w:rPr>
  </w:style>
  <w:style w:type="paragraph" w:customStyle="1" w:styleId="60">
    <w:name w:val="Table Paragraph"/>
    <w:basedOn w:val="1"/>
    <w:qFormat/>
    <w:uiPriority w:val="1"/>
  </w:style>
  <w:style w:type="paragraph" w:customStyle="1" w:styleId="61">
    <w:name w:val="Default"/>
    <w:qFormat/>
    <w:uiPriority w:val="0"/>
    <w:pPr>
      <w:widowControl w:val="0"/>
      <w:autoSpaceDE w:val="0"/>
      <w:autoSpaceDN w:val="0"/>
      <w:adjustRightInd w:val="0"/>
    </w:pPr>
    <w:rPr>
      <w:rFonts w:ascii="宋体" w:hAnsi="等线" w:eastAsia="等线" w:cs="宋体"/>
      <w:color w:val="000000"/>
      <w:sz w:val="24"/>
      <w:szCs w:val="24"/>
      <w:lang w:val="en-US" w:eastAsia="zh-CN" w:bidi="ar-SA"/>
    </w:rPr>
  </w:style>
  <w:style w:type="paragraph" w:customStyle="1" w:styleId="62">
    <w:name w:val="正文1"/>
    <w:qFormat/>
    <w:uiPriority w:val="0"/>
    <w:pPr>
      <w:jc w:val="both"/>
    </w:pPr>
    <w:rPr>
      <w:rFonts w:ascii="Times New Roman" w:hAnsi="Times New Roman" w:eastAsia="宋体" w:cs="Times New Roman"/>
      <w:kern w:val="2"/>
      <w:sz w:val="21"/>
      <w:szCs w:val="21"/>
      <w:lang w:val="en-US" w:eastAsia="zh-CN" w:bidi="ar-SA"/>
    </w:rPr>
  </w:style>
  <w:style w:type="paragraph" w:customStyle="1" w:styleId="63">
    <w:name w:val="正文2"/>
    <w:basedOn w:val="1"/>
    <w:qFormat/>
    <w:uiPriority w:val="0"/>
    <w:pPr>
      <w:spacing w:before="156" w:line="360" w:lineRule="auto"/>
      <w:ind w:firstLine="510" w:firstLineChars="200"/>
    </w:pPr>
    <w:rPr>
      <w:sz w:val="24"/>
      <w:szCs w:val="20"/>
    </w:rPr>
  </w:style>
  <w:style w:type="paragraph" w:customStyle="1" w:styleId="64">
    <w:name w:val="标书_正文"/>
    <w:basedOn w:val="1"/>
    <w:qFormat/>
    <w:uiPriority w:val="0"/>
    <w:pPr>
      <w:adjustRightInd w:val="0"/>
      <w:snapToGrid w:val="0"/>
      <w:spacing w:line="400" w:lineRule="exact"/>
      <w:ind w:firstLine="560" w:firstLineChars="200"/>
    </w:pPr>
    <w:rPr>
      <w:rFonts w:ascii="仿宋_GB2312" w:eastAsia="仿宋_GB2312"/>
      <w:bCs/>
      <w:color w:val="000000"/>
      <w:sz w:val="28"/>
      <w:szCs w:val="28"/>
    </w:rPr>
  </w:style>
  <w:style w:type="character" w:customStyle="1" w:styleId="65">
    <w:name w:val="font41"/>
    <w:qFormat/>
    <w:uiPriority w:val="0"/>
    <w:rPr>
      <w:rFonts w:hint="eastAsia" w:ascii="等线" w:hAnsi="等线" w:eastAsia="等线" w:cs="等线"/>
      <w:b/>
      <w:color w:val="000000"/>
      <w:sz w:val="22"/>
      <w:szCs w:val="22"/>
      <w:u w:val="none"/>
    </w:rPr>
  </w:style>
  <w:style w:type="character" w:customStyle="1" w:styleId="66">
    <w:name w:val="font61"/>
    <w:qFormat/>
    <w:uiPriority w:val="0"/>
    <w:rPr>
      <w:rFonts w:hint="default" w:ascii="Times New Roman" w:hAnsi="Times New Roman" w:cs="Times New Roman"/>
      <w:b/>
      <w:color w:val="000000"/>
      <w:sz w:val="22"/>
      <w:szCs w:val="22"/>
      <w:u w:val="none"/>
    </w:rPr>
  </w:style>
  <w:style w:type="character" w:customStyle="1" w:styleId="67">
    <w:name w:val="font31"/>
    <w:qFormat/>
    <w:uiPriority w:val="0"/>
    <w:rPr>
      <w:rFonts w:hint="eastAsia" w:ascii="宋体" w:hAnsi="宋体" w:eastAsia="宋体" w:cs="宋体"/>
      <w:color w:val="FF0000"/>
      <w:sz w:val="22"/>
      <w:szCs w:val="22"/>
      <w:u w:val="none"/>
    </w:rPr>
  </w:style>
  <w:style w:type="character" w:customStyle="1" w:styleId="68">
    <w:name w:val="font01"/>
    <w:qFormat/>
    <w:uiPriority w:val="0"/>
    <w:rPr>
      <w:rFonts w:hint="eastAsia" w:ascii="宋体" w:hAnsi="宋体" w:eastAsia="宋体" w:cs="宋体"/>
      <w:color w:val="000000"/>
      <w:sz w:val="18"/>
      <w:szCs w:val="18"/>
      <w:u w:val="none"/>
    </w:rPr>
  </w:style>
  <w:style w:type="character" w:customStyle="1" w:styleId="69">
    <w:name w:val="font11"/>
    <w:qFormat/>
    <w:uiPriority w:val="0"/>
    <w:rPr>
      <w:rFonts w:hint="eastAsia" w:ascii="宋体" w:hAnsi="宋体" w:eastAsia="宋体" w:cs="宋体"/>
      <w:color w:val="000000"/>
      <w:sz w:val="18"/>
      <w:szCs w:val="18"/>
      <w:u w:val="none"/>
    </w:rPr>
  </w:style>
  <w:style w:type="character" w:customStyle="1" w:styleId="70">
    <w:name w:val="font51"/>
    <w:qFormat/>
    <w:uiPriority w:val="0"/>
    <w:rPr>
      <w:rFonts w:hint="default" w:ascii="Times New Roman" w:hAnsi="Times New Roman" w:cs="Times New Roman"/>
      <w:b/>
      <w:color w:val="000000"/>
      <w:sz w:val="21"/>
      <w:szCs w:val="21"/>
      <w:u w:val="none"/>
    </w:rPr>
  </w:style>
  <w:style w:type="character" w:customStyle="1" w:styleId="71">
    <w:name w:val="font21"/>
    <w:qFormat/>
    <w:uiPriority w:val="0"/>
    <w:rPr>
      <w:rFonts w:hint="eastAsia" w:ascii="宋体" w:hAnsi="宋体" w:eastAsia="宋体" w:cs="宋体"/>
      <w:b/>
      <w:color w:val="000000"/>
      <w:sz w:val="21"/>
      <w:szCs w:val="21"/>
      <w:u w:val="none"/>
    </w:rPr>
  </w:style>
  <w:style w:type="paragraph" w:customStyle="1" w:styleId="72">
    <w:name w:val="正文3"/>
    <w:qFormat/>
    <w:uiPriority w:val="0"/>
    <w:pPr>
      <w:jc w:val="both"/>
    </w:pPr>
    <w:rPr>
      <w:rFonts w:ascii="Times New Roman" w:hAnsi="Times New Roman" w:eastAsia="宋体" w:cs="Times New Roman"/>
      <w:kern w:val="2"/>
      <w:sz w:val="21"/>
      <w:szCs w:val="21"/>
      <w:lang w:val="en-US" w:eastAsia="zh-CN" w:bidi="ar-SA"/>
    </w:rPr>
  </w:style>
  <w:style w:type="character" w:customStyle="1" w:styleId="73">
    <w:name w:val="p12"/>
    <w:qFormat/>
    <w:uiPriority w:val="0"/>
  </w:style>
  <w:style w:type="paragraph" w:customStyle="1" w:styleId="74">
    <w:name w:val="首行缩进"/>
    <w:basedOn w:val="1"/>
    <w:qFormat/>
    <w:uiPriority w:val="99"/>
    <w:pPr>
      <w:spacing w:line="360" w:lineRule="auto"/>
      <w:ind w:firstLine="480" w:firstLineChars="200"/>
    </w:pPr>
    <w:rPr>
      <w:sz w:val="24"/>
      <w:lang w:val="zh-CN"/>
    </w:rPr>
  </w:style>
  <w:style w:type="paragraph" w:customStyle="1" w:styleId="75">
    <w:name w:val="_Style 2"/>
    <w:basedOn w:val="1"/>
    <w:qFormat/>
    <w:uiPriority w:val="0"/>
    <w:pPr>
      <w:ind w:firstLine="420" w:firstLineChars="200"/>
    </w:pPr>
    <w:rPr>
      <w:szCs w:val="20"/>
    </w:rPr>
  </w:style>
  <w:style w:type="character" w:customStyle="1" w:styleId="76">
    <w:name w:val="font71"/>
    <w:basedOn w:val="29"/>
    <w:qFormat/>
    <w:uiPriority w:val="0"/>
    <w:rPr>
      <w:rFonts w:hint="eastAsia" w:ascii="宋体" w:hAnsi="宋体" w:eastAsia="宋体" w:cs="宋体"/>
      <w:b/>
      <w:bCs/>
      <w:color w:val="000000"/>
      <w:sz w:val="20"/>
      <w:szCs w:val="20"/>
      <w:u w:val="none"/>
    </w:rPr>
  </w:style>
  <w:style w:type="paragraph" w:customStyle="1" w:styleId="77">
    <w:name w:val="修订1"/>
    <w:hidden/>
    <w:semiHidden/>
    <w:qFormat/>
    <w:uiPriority w:val="99"/>
    <w:rPr>
      <w:rFonts w:ascii="Times New Roman" w:hAnsi="Times New Roman" w:eastAsia="宋体" w:cs="Times New Roman"/>
      <w:sz w:val="21"/>
      <w:szCs w:val="22"/>
      <w:lang w:val="en-US" w:eastAsia="zh-CN" w:bidi="ar-SA"/>
    </w:rPr>
  </w:style>
  <w:style w:type="paragraph" w:customStyle="1" w:styleId="78">
    <w:name w:val="Revision"/>
    <w:hidden/>
    <w:semiHidden/>
    <w:qFormat/>
    <w:uiPriority w:val="99"/>
    <w:rPr>
      <w:rFonts w:ascii="Times New Roman" w:hAnsi="Times New Roman" w:eastAsia="宋体" w:cs="Times New Roman"/>
      <w:sz w:val="21"/>
      <w:szCs w:val="22"/>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image" Target="media/image1.png"/><Relationship Id="rId7" Type="http://schemas.openxmlformats.org/officeDocument/2006/relationships/theme" Target="theme/theme1.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184</Pages>
  <Words>116764</Words>
  <Characters>137828</Characters>
  <Lines>1182</Lines>
  <Paragraphs>332</Paragraphs>
  <TotalTime>12</TotalTime>
  <ScaleCrop>false</ScaleCrop>
  <LinksUpToDate>false</LinksUpToDate>
  <CharactersWithSpaces>146603</CharactersWithSpaces>
  <Application>WPS Office_11.1.0.11805_F1E327BC-269C-435d-A152-05C5408002CA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2018-07-17T13:59:00Z</dcterms:created>
  <dc:creator>xbany</dc:creator>
  <cp:lastModifiedBy>丫、美子</cp:lastModifiedBy>
  <cp:lastPrinted>2022-06-15T06:31:54Z</cp:lastPrinted>
  <dcterms:modified xsi:type="dcterms:W3CDTF">2022-06-15T06:32:40Z</dcterms:modified>
  <cp:revision>66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2052-11.1.0.11805</vt:lpwstr>
  </property>
  <property fmtid="{D5CDD505-2E9C-101B-9397-08002B2CF9AE}" pid="3" name="ICV">
    <vt:lpwstr>5C17CE31377547FC9934FE8C2C8ECE94</vt:lpwstr>
  </property>
</Properties>
</file>