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outlineLvl w:val="9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/>
          <w:b/>
          <w:sz w:val="36"/>
          <w:szCs w:val="36"/>
        </w:rPr>
        <w:t>绍兴市龙山书院全过程工程咨询项目</w:t>
      </w:r>
      <w:r>
        <w:rPr>
          <w:rFonts w:ascii="宋体" w:hAnsi="宋体"/>
          <w:b/>
          <w:sz w:val="36"/>
          <w:szCs w:val="36"/>
        </w:rPr>
        <w:t>答疑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补充文件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0" w:rightChars="0"/>
        <w:textAlignment w:val="auto"/>
        <w:outlineLvl w:val="9"/>
        <w:rPr>
          <w:rFonts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各潜在投标人：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0" w:rightChars="0"/>
        <w:textAlignment w:val="auto"/>
        <w:outlineLvl w:val="9"/>
        <w:rPr>
          <w:rFonts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 xml:space="preserve">    现招标人对招标文件作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如下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调整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招标文件P10页12点“设基准价。招标人设定最高浮动率为5%，Xi高于5%的作无效标处理。”</w:t>
      </w:r>
      <w:r>
        <w:rPr>
          <w:rFonts w:hint="eastAsia"/>
          <w:b/>
          <w:bCs/>
          <w:sz w:val="28"/>
          <w:szCs w:val="28"/>
          <w:lang w:val="en-US" w:eastAsia="zh-CN"/>
        </w:rPr>
        <w:t>调整为“设基准价。招标人设定最高浮动率为-5%，Xi高于-5%的作无效标处理。”。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招标文件P20页“本项目设基准价，采用浮动率形式报价，以%为单位，设基准价，招标人设定最高浮动率为5%，Xi高于5%的作无效标处理。”</w:t>
      </w:r>
      <w:r>
        <w:rPr>
          <w:rFonts w:hint="eastAsia"/>
          <w:b/>
          <w:bCs/>
          <w:sz w:val="28"/>
          <w:szCs w:val="28"/>
          <w:lang w:val="en-US" w:eastAsia="zh-CN"/>
        </w:rPr>
        <w:t>调整为“本项目设基准价，采用浮动率形式报价，以%为单位，设基准价，招标人设定最高浮动率为-5%，Xi高于-5%的作无效标处理。”。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招标文件P25页（2）商务分中“招标人设定最高浮动率为5%，Xi高于5%的作无效标处理。”调整为“</w:t>
      </w:r>
      <w:r>
        <w:rPr>
          <w:rFonts w:hint="eastAsia"/>
          <w:b/>
          <w:bCs/>
          <w:sz w:val="28"/>
          <w:szCs w:val="28"/>
          <w:lang w:val="en-US" w:eastAsia="zh-CN"/>
        </w:rPr>
        <w:t>招标人设定最高浮动率为-5%，Xi高于-5%的作无效标处理。</w:t>
      </w:r>
      <w:r>
        <w:rPr>
          <w:rFonts w:hint="eastAsia"/>
          <w:sz w:val="28"/>
          <w:szCs w:val="28"/>
          <w:lang w:val="en-US" w:eastAsia="zh-CN"/>
        </w:rPr>
        <w:t>”。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招标文件P50页中三、项目管理组表格调整如下：</w:t>
      </w:r>
    </w:p>
    <w:tbl>
      <w:tblPr>
        <w:tblStyle w:val="9"/>
        <w:tblW w:w="9866" w:type="dxa"/>
        <w:tblInd w:w="-3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427"/>
        <w:gridCol w:w="1896"/>
        <w:gridCol w:w="1908"/>
        <w:gridCol w:w="708"/>
        <w:gridCol w:w="3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86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项目管理组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项目管理负责人</w:t>
            </w:r>
          </w:p>
        </w:tc>
        <w:tc>
          <w:tcPr>
            <w:tcW w:w="76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即组长，需提供“项目负责人承诺书”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组长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国家注册监理工程师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房屋建筑工程专业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人</w:t>
            </w:r>
          </w:p>
        </w:tc>
        <w:tc>
          <w:tcPr>
            <w:tcW w:w="3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资质证书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组员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2人</w:t>
            </w:r>
          </w:p>
        </w:tc>
        <w:tc>
          <w:tcPr>
            <w:tcW w:w="3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配备前期阶段人员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组员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2人</w:t>
            </w:r>
          </w:p>
        </w:tc>
        <w:tc>
          <w:tcPr>
            <w:tcW w:w="3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配备设计阶段人员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组员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2人</w:t>
            </w:r>
            <w:bookmarkStart w:id="0" w:name="_GoBack"/>
            <w:bookmarkEnd w:id="0"/>
          </w:p>
        </w:tc>
        <w:tc>
          <w:tcPr>
            <w:tcW w:w="3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配备施工阶段人员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86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注：</w:t>
            </w: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根据项目实际实施情况，各阶段配备人员具备专业工作能力；根据项目进度，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需入驻符合业主单位要求的办公场所，配合业主单位开展相关项目管理工作，并配备工作用机动车，该组人员由委托人调配使用。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招标文件P60页拟投入本项目人员情况及进场时间一览表中“3.需入驻符合业主单位要求的办公场所，配合业主单位开展相关项目管理工作，并配备工作用机动车，该组人员由委托人调配使用。”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  <w:t>调整为“3.根据项目实际实施情况，各阶段配备人员具备专业工作能力；</w:t>
      </w:r>
      <w:r>
        <w:rPr>
          <w:rFonts w:hint="eastAsia" w:cstheme="minorBidi"/>
          <w:b/>
          <w:bCs/>
          <w:kern w:val="2"/>
          <w:sz w:val="28"/>
          <w:szCs w:val="28"/>
          <w:lang w:val="en-US" w:eastAsia="zh-CN" w:bidi="ar-SA"/>
        </w:rPr>
        <w:t>根据项目进度，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  <w:t>需入驻符合业主单位要求的办公场所，配合业主单位开展相关项目管理工作，并配备工作用机动车，该组人员由委托人调配使用。”。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/>
        <w:textAlignment w:val="auto"/>
        <w:rPr>
          <w:rFonts w:hint="default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ind w:right="0" w:rightChars="0"/>
        <w:jc w:val="right"/>
        <w:textAlignment w:val="auto"/>
        <w:outlineLvl w:val="9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绍兴市未来社区开发建设有限公司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0" w:rightChars="0"/>
        <w:jc w:val="right"/>
        <w:textAlignment w:val="auto"/>
        <w:outlineLvl w:val="9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浙江建汇工程咨询有限公司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0" w:rightChars="0"/>
        <w:jc w:val="right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2021年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7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月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21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日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A3E315"/>
    <w:multiLevelType w:val="singleLevel"/>
    <w:tmpl w:val="91A3E31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C6DECE1"/>
    <w:multiLevelType w:val="singleLevel"/>
    <w:tmpl w:val="3C6DECE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C6"/>
    <w:rsid w:val="005D5DC6"/>
    <w:rsid w:val="006B2F01"/>
    <w:rsid w:val="00797036"/>
    <w:rsid w:val="00AF7D0A"/>
    <w:rsid w:val="00EC3A09"/>
    <w:rsid w:val="025524AC"/>
    <w:rsid w:val="0CBA14E2"/>
    <w:rsid w:val="0E5B0663"/>
    <w:rsid w:val="0FE85D87"/>
    <w:rsid w:val="16F26CC8"/>
    <w:rsid w:val="1A0515E1"/>
    <w:rsid w:val="1EE6724E"/>
    <w:rsid w:val="2D9B007C"/>
    <w:rsid w:val="2FC1378E"/>
    <w:rsid w:val="453763AD"/>
    <w:rsid w:val="495F54DC"/>
    <w:rsid w:val="4CD2286B"/>
    <w:rsid w:val="548D06CE"/>
    <w:rsid w:val="5AEF2946"/>
    <w:rsid w:val="67467088"/>
    <w:rsid w:val="6CD16888"/>
    <w:rsid w:val="77DF48ED"/>
    <w:rsid w:val="7A9B44E4"/>
    <w:rsid w:val="7F171B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iPriority="0" w:semiHidden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keepNext/>
      <w:keepLines/>
      <w:spacing w:before="340" w:after="330" w:line="576" w:lineRule="auto"/>
      <w:textAlignment w:val="baseline"/>
    </w:pPr>
    <w:rPr>
      <w:b/>
      <w:bCs/>
      <w:kern w:val="44"/>
      <w:sz w:val="44"/>
      <w:szCs w:val="44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First Indent"/>
    <w:basedOn w:val="3"/>
    <w:next w:val="5"/>
    <w:unhideWhenUsed/>
    <w:qFormat/>
    <w:uiPriority w:val="0"/>
    <w:pPr>
      <w:ind w:firstLine="420" w:firstLineChars="100"/>
    </w:pPr>
    <w:rPr>
      <w:rFonts w:hint="eastAsia"/>
      <w:sz w:val="21"/>
      <w:szCs w:val="24"/>
    </w:rPr>
  </w:style>
  <w:style w:type="paragraph" w:styleId="5">
    <w:name w:val="toc 6"/>
    <w:basedOn w:val="1"/>
    <w:next w:val="1"/>
    <w:unhideWhenUsed/>
    <w:qFormat/>
    <w:uiPriority w:val="0"/>
    <w:pPr>
      <w:widowControl w:val="0"/>
      <w:ind w:left="2100" w:leftChars="1000"/>
    </w:pPr>
    <w:rPr>
      <w:rFonts w:hint="default" w:ascii="Calibri" w:hAnsi="Calibri" w:eastAsia="宋体" w:cs="Times New Roman"/>
      <w:sz w:val="21"/>
      <w:szCs w:val="22"/>
      <w:lang w:val="en-US" w:eastAsia="zh-CN" w:bidi="ar-SA"/>
    </w:rPr>
  </w:style>
  <w:style w:type="paragraph" w:styleId="6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10"/>
    <w:link w:val="8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7"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admin</Company>
  <Pages>1</Pages>
  <Words>183</Words>
  <Characters>1046</Characters>
  <Lines>8</Lines>
  <Paragraphs>2</Paragraphs>
  <TotalTime>2</TotalTime>
  <ScaleCrop>false</ScaleCrop>
  <LinksUpToDate>false</LinksUpToDate>
  <CharactersWithSpaces>1227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2021-05-18T08:53:00Z</dcterms:created>
  <dc:creator>王夏祥</dc:creator>
  <cp:lastModifiedBy>糕。</cp:lastModifiedBy>
  <cp:lastPrinted>2021-05-20T09:18:00Z</cp:lastPrinted>
  <dcterms:modified xsi:type="dcterms:W3CDTF">2021-07-21T01:36:36Z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AB29110176FE4E5597BF498FCF174F68</vt:lpwstr>
  </property>
</Properties>
</file>